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E97A9" w14:textId="6AB8F80E" w:rsidR="00F46DDB" w:rsidRPr="00501D48" w:rsidRDefault="002A281C" w:rsidP="0026306F">
      <w:pPr>
        <w:rPr>
          <w:rFonts w:cstheme="minorHAnsi"/>
        </w:rPr>
      </w:pPr>
      <w:r>
        <w:rPr>
          <w:rFonts w:ascii="Verdana" w:hAnsi="Verdana"/>
          <w:noProof/>
        </w:rPr>
        <w:drawing>
          <wp:anchor distT="0" distB="0" distL="114300" distR="114300" simplePos="0" relativeHeight="251660288" behindDoc="0" locked="0" layoutInCell="1" allowOverlap="1" wp14:anchorId="0456075A" wp14:editId="7070D620">
            <wp:simplePos x="0" y="0"/>
            <wp:positionH relativeFrom="column">
              <wp:posOffset>3538855</wp:posOffset>
            </wp:positionH>
            <wp:positionV relativeFrom="paragraph">
              <wp:posOffset>-131445</wp:posOffset>
            </wp:positionV>
            <wp:extent cx="2181225" cy="13208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D05" w:rsidRPr="00501D48">
        <w:rPr>
          <w:rFonts w:cstheme="minorHAnsi"/>
          <w:noProof/>
        </w:rPr>
        <w:drawing>
          <wp:anchor distT="0" distB="0" distL="114300" distR="114300" simplePos="0" relativeHeight="251659264" behindDoc="0" locked="0" layoutInCell="1" allowOverlap="1" wp14:anchorId="508AC429" wp14:editId="6EF89317">
            <wp:simplePos x="0" y="0"/>
            <wp:positionH relativeFrom="column">
              <wp:posOffset>-33020</wp:posOffset>
            </wp:positionH>
            <wp:positionV relativeFrom="paragraph">
              <wp:posOffset>-128270</wp:posOffset>
            </wp:positionV>
            <wp:extent cx="2531110" cy="1308735"/>
            <wp:effectExtent l="19050" t="19050" r="21590" b="24765"/>
            <wp:wrapNone/>
            <wp:docPr id="3"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10" cstate="print"/>
                    <a:srcRect/>
                    <a:stretch>
                      <a:fillRect/>
                    </a:stretch>
                  </pic:blipFill>
                  <pic:spPr bwMode="auto">
                    <a:xfrm>
                      <a:off x="0" y="0"/>
                      <a:ext cx="2531110" cy="1308735"/>
                    </a:xfrm>
                    <a:prstGeom prst="rect">
                      <a:avLst/>
                    </a:prstGeom>
                    <a:noFill/>
                    <a:ln w="9525">
                      <a:solidFill>
                        <a:srgbClr val="31859C"/>
                      </a:solidFill>
                      <a:miter lim="800000"/>
                      <a:headEnd/>
                      <a:tailEnd/>
                    </a:ln>
                  </pic:spPr>
                </pic:pic>
              </a:graphicData>
            </a:graphic>
          </wp:anchor>
        </w:drawing>
      </w:r>
    </w:p>
    <w:p w14:paraId="59ED089B" w14:textId="77777777" w:rsidR="004F7D05" w:rsidRPr="00501D48" w:rsidRDefault="004F7D05" w:rsidP="00F46DDB">
      <w:pPr>
        <w:rPr>
          <w:rFonts w:ascii="Verdana" w:hAnsi="Verdana"/>
        </w:rPr>
      </w:pPr>
    </w:p>
    <w:p w14:paraId="757016D2" w14:textId="77777777" w:rsidR="004F7D05" w:rsidRPr="00501D48" w:rsidRDefault="004F7D05" w:rsidP="00F46DDB">
      <w:pPr>
        <w:rPr>
          <w:rFonts w:ascii="Verdana" w:hAnsi="Verdana"/>
        </w:rPr>
      </w:pPr>
    </w:p>
    <w:p w14:paraId="6828616F" w14:textId="5FFA8ACB" w:rsidR="004F7D05" w:rsidRDefault="006B64B2" w:rsidP="006B64B2">
      <w:pPr>
        <w:tabs>
          <w:tab w:val="left" w:pos="4515"/>
        </w:tabs>
        <w:rPr>
          <w:rFonts w:ascii="Verdana" w:hAnsi="Verdana"/>
        </w:rPr>
      </w:pPr>
      <w:r>
        <w:rPr>
          <w:rFonts w:ascii="Verdana" w:hAnsi="Verdana"/>
        </w:rPr>
        <w:tab/>
      </w:r>
    </w:p>
    <w:p w14:paraId="54B3F9EA" w14:textId="77777777" w:rsidR="00894D86" w:rsidRDefault="00894D86" w:rsidP="00487E84">
      <w:pPr>
        <w:tabs>
          <w:tab w:val="left" w:pos="4515"/>
        </w:tabs>
        <w:spacing w:after="0"/>
        <w:rPr>
          <w:rFonts w:ascii="Verdana" w:hAnsi="Verdana"/>
        </w:rPr>
      </w:pPr>
    </w:p>
    <w:p w14:paraId="0FDBB707" w14:textId="17877488" w:rsidR="00487E84" w:rsidRPr="00894D86" w:rsidRDefault="00894D86" w:rsidP="00487E84">
      <w:pPr>
        <w:tabs>
          <w:tab w:val="left" w:pos="4515"/>
        </w:tabs>
        <w:spacing w:after="0"/>
        <w:rPr>
          <w:rFonts w:ascii="Verdana" w:hAnsi="Verdana"/>
          <w:lang w:val="en-US"/>
        </w:rPr>
      </w:pPr>
      <w:bookmarkStart w:id="0" w:name="_GoBack"/>
      <w:r w:rsidRPr="00894D86">
        <w:rPr>
          <w:rFonts w:ascii="Verdana" w:hAnsi="Verdana"/>
          <w:lang w:val="en-US"/>
        </w:rPr>
        <w:t>ID number of the organization: 41228861912-38</w:t>
      </w:r>
      <w:r w:rsidR="00487E84" w:rsidRPr="00894D86">
        <w:rPr>
          <w:rFonts w:ascii="Verdana" w:hAnsi="Verdana"/>
          <w:lang w:val="en-US"/>
        </w:rPr>
        <w:tab/>
      </w:r>
      <w:r w:rsidR="00487E84" w:rsidRPr="00894D86">
        <w:rPr>
          <w:rFonts w:ascii="Verdana" w:hAnsi="Verdana"/>
          <w:lang w:val="en-US"/>
        </w:rPr>
        <w:tab/>
      </w:r>
    </w:p>
    <w:bookmarkEnd w:id="0"/>
    <w:p w14:paraId="7B094176" w14:textId="77777777" w:rsidR="00487E84" w:rsidRPr="00894D86" w:rsidRDefault="00487E84" w:rsidP="00487E84">
      <w:pPr>
        <w:tabs>
          <w:tab w:val="left" w:pos="4515"/>
        </w:tabs>
        <w:spacing w:after="0"/>
        <w:rPr>
          <w:rFonts w:ascii="Verdana" w:hAnsi="Verdana"/>
          <w:lang w:val="en-US"/>
        </w:rPr>
      </w:pPr>
    </w:p>
    <w:p w14:paraId="010650FD" w14:textId="14C760AF" w:rsidR="009A64F1" w:rsidRPr="009A64F1" w:rsidRDefault="008A4EE3" w:rsidP="009A64F1">
      <w:pPr>
        <w:pBdr>
          <w:top w:val="single" w:sz="4" w:space="1" w:color="auto"/>
          <w:left w:val="single" w:sz="4" w:space="4" w:color="auto"/>
          <w:bottom w:val="single" w:sz="4" w:space="1" w:color="auto"/>
          <w:right w:val="single" w:sz="4" w:space="4" w:color="auto"/>
        </w:pBdr>
        <w:spacing w:after="120"/>
        <w:jc w:val="center"/>
        <w:rPr>
          <w:rFonts w:ascii="Verdana" w:hAnsi="Verdana"/>
          <w:sz w:val="28"/>
          <w:szCs w:val="28"/>
          <w:lang w:val="en-US"/>
        </w:rPr>
      </w:pPr>
      <w:r w:rsidRPr="008A4EE3">
        <w:rPr>
          <w:rFonts w:ascii="Verdana" w:hAnsi="Verdana"/>
          <w:sz w:val="28"/>
          <w:szCs w:val="28"/>
          <w:lang w:val="en-US"/>
        </w:rPr>
        <w:t>EUNEC POSITION PAPER, a reaction to the stakeholder consultation on the European area of skills and qualifications.</w:t>
      </w:r>
    </w:p>
    <w:p w14:paraId="0F300B98" w14:textId="77777777" w:rsidR="009A64F1" w:rsidRDefault="009A64F1" w:rsidP="0080365D">
      <w:pPr>
        <w:pStyle w:val="Duidelijkcitaat"/>
        <w:ind w:left="0"/>
        <w:rPr>
          <w:sz w:val="28"/>
          <w:szCs w:val="28"/>
          <w:lang w:val="en-US"/>
        </w:rPr>
      </w:pPr>
    </w:p>
    <w:p w14:paraId="70393C22" w14:textId="77777777" w:rsidR="00F46DDB" w:rsidRPr="00F154CD" w:rsidRDefault="00F46DDB" w:rsidP="0080365D">
      <w:pPr>
        <w:pStyle w:val="Duidelijkcitaat"/>
        <w:ind w:left="0"/>
        <w:rPr>
          <w:sz w:val="28"/>
          <w:szCs w:val="28"/>
          <w:lang w:val="en-GB"/>
        </w:rPr>
      </w:pPr>
      <w:r w:rsidRPr="00F154CD">
        <w:rPr>
          <w:sz w:val="28"/>
          <w:szCs w:val="28"/>
          <w:lang w:val="en-GB"/>
        </w:rPr>
        <w:t>EUNEC</w:t>
      </w:r>
    </w:p>
    <w:p w14:paraId="5EC4DAA9" w14:textId="77777777" w:rsidR="00F46DDB" w:rsidRPr="005A1C6B" w:rsidRDefault="00161279" w:rsidP="00325BE3">
      <w:pPr>
        <w:spacing w:after="0"/>
        <w:jc w:val="both"/>
        <w:rPr>
          <w:rFonts w:ascii="Verdana" w:hAnsi="Verdana"/>
          <w:sz w:val="20"/>
          <w:szCs w:val="20"/>
          <w:lang w:val="en-GB"/>
        </w:rPr>
      </w:pPr>
      <w:r w:rsidRPr="005A1C6B">
        <w:rPr>
          <w:rFonts w:ascii="Verdana" w:hAnsi="Verdana"/>
          <w:sz w:val="20"/>
          <w:szCs w:val="20"/>
          <w:lang w:val="en-GB"/>
        </w:rPr>
        <w:t>EUNEC</w:t>
      </w:r>
      <w:r w:rsidR="008A4EE3" w:rsidRPr="005A1C6B">
        <w:rPr>
          <w:rFonts w:ascii="Verdana" w:hAnsi="Verdana"/>
          <w:sz w:val="20"/>
          <w:szCs w:val="20"/>
          <w:lang w:val="en-GB"/>
        </w:rPr>
        <w:t xml:space="preserve"> (www.eunec.eu) </w:t>
      </w:r>
      <w:r w:rsidRPr="005A1C6B">
        <w:rPr>
          <w:rFonts w:ascii="Verdana" w:hAnsi="Verdana"/>
          <w:sz w:val="20"/>
          <w:szCs w:val="20"/>
          <w:lang w:val="en-GB"/>
        </w:rPr>
        <w:t>is the</w:t>
      </w:r>
      <w:r w:rsidR="00F46DDB" w:rsidRPr="005A1C6B">
        <w:rPr>
          <w:rFonts w:ascii="Verdana" w:hAnsi="Verdana"/>
          <w:sz w:val="20"/>
          <w:szCs w:val="20"/>
          <w:lang w:val="en-GB"/>
        </w:rPr>
        <w:t xml:space="preserve"> network of education c</w:t>
      </w:r>
      <w:r w:rsidRPr="005A1C6B">
        <w:rPr>
          <w:rFonts w:ascii="Verdana" w:hAnsi="Verdana"/>
          <w:sz w:val="20"/>
          <w:szCs w:val="20"/>
          <w:lang w:val="en-GB"/>
        </w:rPr>
        <w:t xml:space="preserve">ouncils in the European Union. </w:t>
      </w:r>
      <w:r w:rsidR="00F46DDB" w:rsidRPr="005A1C6B">
        <w:rPr>
          <w:rFonts w:ascii="Verdana" w:hAnsi="Verdana"/>
          <w:sz w:val="20"/>
          <w:szCs w:val="20"/>
          <w:lang w:val="en-GB"/>
        </w:rPr>
        <w:t>EUNEC brings together the expertise of advisory bodies and of the stakeholders and experts who are involved in the national/regional advisory processes.  These advisory bodies g</w:t>
      </w:r>
      <w:r w:rsidR="00AA161A" w:rsidRPr="005A1C6B">
        <w:rPr>
          <w:rFonts w:ascii="Verdana" w:hAnsi="Verdana"/>
          <w:sz w:val="20"/>
          <w:szCs w:val="20"/>
          <w:lang w:val="en-GB"/>
        </w:rPr>
        <w:t>ive advice to the governments of</w:t>
      </w:r>
      <w:r w:rsidR="00F46DDB" w:rsidRPr="005A1C6B">
        <w:rPr>
          <w:rFonts w:ascii="Verdana" w:hAnsi="Verdana"/>
          <w:sz w:val="20"/>
          <w:szCs w:val="20"/>
          <w:lang w:val="en-GB"/>
        </w:rPr>
        <w:t xml:space="preserve"> the different European countries in the field of education and training.</w:t>
      </w:r>
    </w:p>
    <w:p w14:paraId="41057E67" w14:textId="77777777" w:rsidR="006C1A1E" w:rsidRPr="005A1C6B" w:rsidRDefault="006C1A1E" w:rsidP="00325BE3">
      <w:pPr>
        <w:spacing w:after="0"/>
        <w:jc w:val="both"/>
        <w:rPr>
          <w:rFonts w:ascii="Verdana" w:hAnsi="Verdana"/>
          <w:sz w:val="20"/>
          <w:szCs w:val="20"/>
          <w:lang w:val="en-GB"/>
        </w:rPr>
      </w:pPr>
    </w:p>
    <w:p w14:paraId="0ACF1CAC" w14:textId="77777777" w:rsidR="008A4EE3" w:rsidRPr="00F154CD" w:rsidRDefault="008A4EE3" w:rsidP="008A4EE3">
      <w:pPr>
        <w:pStyle w:val="Duidelijkcitaat"/>
        <w:ind w:left="0"/>
        <w:rPr>
          <w:sz w:val="28"/>
          <w:szCs w:val="28"/>
          <w:lang w:val="en-GB"/>
        </w:rPr>
      </w:pPr>
      <w:r w:rsidRPr="00F154CD">
        <w:rPr>
          <w:sz w:val="28"/>
          <w:szCs w:val="28"/>
          <w:lang w:val="en-GB"/>
        </w:rPr>
        <w:t>Context</w:t>
      </w:r>
    </w:p>
    <w:p w14:paraId="468BB180" w14:textId="77777777" w:rsidR="008A4EE3" w:rsidRDefault="008A4EE3" w:rsidP="008A4EE3">
      <w:pPr>
        <w:spacing w:after="0"/>
        <w:jc w:val="both"/>
        <w:rPr>
          <w:rFonts w:ascii="Verdana" w:hAnsi="Verdana"/>
          <w:sz w:val="20"/>
          <w:szCs w:val="20"/>
          <w:lang w:val="en-US"/>
        </w:rPr>
      </w:pPr>
      <w:r w:rsidRPr="008A4EE3">
        <w:rPr>
          <w:rFonts w:ascii="Verdana" w:hAnsi="Verdana"/>
          <w:sz w:val="20"/>
          <w:szCs w:val="20"/>
          <w:lang w:val="en-US"/>
        </w:rPr>
        <w:t>Through this consultation</w:t>
      </w:r>
      <w:r w:rsidRPr="008A4EE3">
        <w:rPr>
          <w:rFonts w:ascii="Verdana" w:hAnsi="Verdana"/>
          <w:sz w:val="20"/>
          <w:szCs w:val="20"/>
          <w:vertAlign w:val="superscript"/>
        </w:rPr>
        <w:footnoteReference w:id="1"/>
      </w:r>
      <w:r w:rsidRPr="008A4EE3">
        <w:rPr>
          <w:rFonts w:ascii="Verdana" w:hAnsi="Verdana"/>
          <w:sz w:val="20"/>
          <w:szCs w:val="20"/>
          <w:lang w:val="en-US"/>
        </w:rPr>
        <w:t>, the European Commission wishes to collect</w:t>
      </w:r>
      <w:r w:rsidR="0095709A">
        <w:rPr>
          <w:rFonts w:ascii="Verdana" w:hAnsi="Verdana"/>
          <w:sz w:val="20"/>
          <w:szCs w:val="20"/>
          <w:lang w:val="en-US"/>
        </w:rPr>
        <w:t xml:space="preserve"> the views of stakeholders on </w:t>
      </w:r>
      <w:r w:rsidRPr="008A4EE3">
        <w:rPr>
          <w:rFonts w:ascii="Verdana" w:hAnsi="Verdana"/>
          <w:sz w:val="20"/>
          <w:szCs w:val="20"/>
          <w:lang w:val="en-US"/>
        </w:rPr>
        <w:t>the problems faced by learners and workers with regard to the transparency and recognition of their skills and qualific</w:t>
      </w:r>
      <w:r>
        <w:rPr>
          <w:rFonts w:ascii="Verdana" w:hAnsi="Verdana"/>
          <w:sz w:val="20"/>
          <w:szCs w:val="20"/>
          <w:lang w:val="en-US"/>
        </w:rPr>
        <w:t>a</w:t>
      </w:r>
      <w:r w:rsidRPr="008A4EE3">
        <w:rPr>
          <w:rFonts w:ascii="Verdana" w:hAnsi="Verdana"/>
          <w:sz w:val="20"/>
          <w:szCs w:val="20"/>
          <w:lang w:val="en-US"/>
        </w:rPr>
        <w:t>tions when moving within and between EU Member States, on the adequacy of the related European policies and instruments, and on the potential benefits of developing a ‘European area of skills and qualifications’.</w:t>
      </w:r>
    </w:p>
    <w:p w14:paraId="512FBEE2" w14:textId="77777777" w:rsidR="005A1C6B" w:rsidRPr="008A4EE3" w:rsidRDefault="005A1C6B" w:rsidP="008A4EE3">
      <w:pPr>
        <w:spacing w:after="0"/>
        <w:jc w:val="both"/>
        <w:rPr>
          <w:rFonts w:ascii="Verdana" w:hAnsi="Verdana"/>
          <w:sz w:val="20"/>
          <w:szCs w:val="20"/>
          <w:lang w:val="en-US"/>
        </w:rPr>
      </w:pPr>
    </w:p>
    <w:p w14:paraId="78254C1F" w14:textId="2B18151A" w:rsidR="00DF30A4" w:rsidRDefault="008A4EE3" w:rsidP="008A4EE3">
      <w:pPr>
        <w:spacing w:after="0"/>
        <w:jc w:val="both"/>
        <w:rPr>
          <w:rFonts w:ascii="Verdana" w:hAnsi="Verdana"/>
          <w:sz w:val="20"/>
          <w:szCs w:val="20"/>
          <w:lang w:val="en-US"/>
        </w:rPr>
      </w:pPr>
      <w:r w:rsidRPr="008A4EE3">
        <w:rPr>
          <w:rFonts w:ascii="Verdana" w:hAnsi="Verdana"/>
          <w:sz w:val="20"/>
          <w:szCs w:val="20"/>
          <w:lang w:val="en-US"/>
        </w:rPr>
        <w:t xml:space="preserve">EUNEC as </w:t>
      </w:r>
      <w:r w:rsidR="00DF30A4">
        <w:rPr>
          <w:rFonts w:ascii="Verdana" w:hAnsi="Verdana"/>
          <w:sz w:val="20"/>
          <w:szCs w:val="20"/>
          <w:lang w:val="en-US"/>
        </w:rPr>
        <w:t xml:space="preserve">well as </w:t>
      </w:r>
      <w:r w:rsidRPr="008A4EE3">
        <w:rPr>
          <w:rFonts w:ascii="Verdana" w:hAnsi="Verdana"/>
          <w:sz w:val="20"/>
          <w:szCs w:val="20"/>
          <w:lang w:val="en-US"/>
        </w:rPr>
        <w:t xml:space="preserve">its members, is </w:t>
      </w:r>
      <w:r w:rsidR="00DF30A4">
        <w:rPr>
          <w:rFonts w:ascii="Verdana" w:hAnsi="Verdana"/>
          <w:sz w:val="20"/>
          <w:szCs w:val="20"/>
          <w:lang w:val="en-US"/>
        </w:rPr>
        <w:t xml:space="preserve">interested in the questions raised </w:t>
      </w:r>
      <w:r w:rsidRPr="008A4EE3">
        <w:rPr>
          <w:rFonts w:ascii="Verdana" w:hAnsi="Verdana"/>
          <w:sz w:val="20"/>
          <w:szCs w:val="20"/>
          <w:lang w:val="en-US"/>
        </w:rPr>
        <w:t xml:space="preserve">by the consultation paper. </w:t>
      </w:r>
      <w:r w:rsidR="00DF30A4">
        <w:rPr>
          <w:rFonts w:ascii="Verdana" w:hAnsi="Verdana"/>
          <w:sz w:val="20"/>
          <w:szCs w:val="20"/>
          <w:lang w:val="en-US"/>
        </w:rPr>
        <w:t xml:space="preserve">To this end </w:t>
      </w:r>
      <w:r w:rsidR="00DF30A4" w:rsidRPr="008A4EE3">
        <w:rPr>
          <w:rFonts w:ascii="Verdana" w:hAnsi="Verdana"/>
          <w:sz w:val="20"/>
          <w:szCs w:val="20"/>
          <w:lang w:val="en-US"/>
        </w:rPr>
        <w:t>EUNEC disseminated the consultation to the members of the network</w:t>
      </w:r>
      <w:r w:rsidR="00DF30A4">
        <w:rPr>
          <w:rFonts w:ascii="Verdana" w:hAnsi="Verdana"/>
          <w:sz w:val="20"/>
          <w:szCs w:val="20"/>
          <w:lang w:val="en-US"/>
        </w:rPr>
        <w:t xml:space="preserve"> to be discussed in member councils and so raise awareness on the importance of the consul</w:t>
      </w:r>
      <w:r w:rsidR="005A1C6B">
        <w:rPr>
          <w:rFonts w:ascii="Verdana" w:hAnsi="Verdana"/>
          <w:sz w:val="20"/>
          <w:szCs w:val="20"/>
          <w:lang w:val="en-US"/>
        </w:rPr>
        <w:t>t</w:t>
      </w:r>
      <w:r w:rsidR="00DF30A4">
        <w:rPr>
          <w:rFonts w:ascii="Verdana" w:hAnsi="Verdana"/>
          <w:sz w:val="20"/>
          <w:szCs w:val="20"/>
          <w:lang w:val="en-US"/>
        </w:rPr>
        <w:t>ation</w:t>
      </w:r>
      <w:r w:rsidR="00DF30A4" w:rsidRPr="008A4EE3">
        <w:rPr>
          <w:rFonts w:ascii="Verdana" w:hAnsi="Verdana"/>
          <w:sz w:val="20"/>
          <w:szCs w:val="20"/>
          <w:lang w:val="en-US"/>
        </w:rPr>
        <w:t>.</w:t>
      </w:r>
      <w:r w:rsidR="00DF30A4">
        <w:rPr>
          <w:rFonts w:ascii="Verdana" w:hAnsi="Verdana"/>
          <w:sz w:val="20"/>
          <w:szCs w:val="20"/>
          <w:lang w:val="en-US"/>
        </w:rPr>
        <w:t xml:space="preserve"> </w:t>
      </w:r>
    </w:p>
    <w:p w14:paraId="49E62C2F" w14:textId="77777777" w:rsidR="00DF30A4" w:rsidRDefault="00DF30A4" w:rsidP="008A4EE3">
      <w:pPr>
        <w:spacing w:after="0"/>
        <w:jc w:val="both"/>
        <w:rPr>
          <w:rFonts w:ascii="Verdana" w:hAnsi="Verdana"/>
          <w:sz w:val="20"/>
          <w:szCs w:val="20"/>
          <w:lang w:val="en-US"/>
        </w:rPr>
      </w:pPr>
    </w:p>
    <w:p w14:paraId="7983EB3A" w14:textId="613F4F19" w:rsidR="004E0612" w:rsidRPr="008A4EE3" w:rsidRDefault="008A4EE3" w:rsidP="008A4EE3">
      <w:pPr>
        <w:spacing w:after="0"/>
        <w:jc w:val="both"/>
        <w:rPr>
          <w:rFonts w:ascii="Verdana" w:hAnsi="Verdana"/>
          <w:sz w:val="20"/>
          <w:szCs w:val="20"/>
          <w:lang w:val="en-US"/>
        </w:rPr>
      </w:pPr>
      <w:r w:rsidRPr="008A4EE3">
        <w:rPr>
          <w:rFonts w:ascii="Verdana" w:hAnsi="Verdana"/>
          <w:sz w:val="20"/>
          <w:szCs w:val="20"/>
          <w:lang w:val="en-US"/>
        </w:rPr>
        <w:t xml:space="preserve">It is not possible for EUNEC to </w:t>
      </w:r>
      <w:r>
        <w:rPr>
          <w:rFonts w:ascii="Verdana" w:hAnsi="Verdana"/>
          <w:sz w:val="20"/>
          <w:szCs w:val="20"/>
          <w:lang w:val="en-US"/>
        </w:rPr>
        <w:t>formulate a common answer</w:t>
      </w:r>
      <w:r w:rsidRPr="008A4EE3">
        <w:rPr>
          <w:rFonts w:ascii="Verdana" w:hAnsi="Verdana"/>
          <w:sz w:val="20"/>
          <w:szCs w:val="20"/>
          <w:lang w:val="en-US"/>
        </w:rPr>
        <w:t xml:space="preserve"> to all the questions of the consultation. However, EUNEC decided, in the preparation of the working </w:t>
      </w:r>
      <w:proofErr w:type="spellStart"/>
      <w:r w:rsidRPr="008A4EE3">
        <w:rPr>
          <w:rFonts w:ascii="Verdana" w:hAnsi="Verdana"/>
          <w:sz w:val="20"/>
          <w:szCs w:val="20"/>
          <w:lang w:val="en-US"/>
        </w:rPr>
        <w:t>programme</w:t>
      </w:r>
      <w:proofErr w:type="spellEnd"/>
      <w:r w:rsidRPr="008A4EE3">
        <w:rPr>
          <w:rFonts w:ascii="Verdana" w:hAnsi="Verdana"/>
          <w:sz w:val="20"/>
          <w:szCs w:val="20"/>
          <w:lang w:val="en-US"/>
        </w:rPr>
        <w:t xml:space="preserve"> 2014, to </w:t>
      </w:r>
      <w:r w:rsidR="00DF30A4">
        <w:rPr>
          <w:rFonts w:ascii="Verdana" w:hAnsi="Verdana"/>
          <w:sz w:val="20"/>
          <w:szCs w:val="20"/>
          <w:lang w:val="en-US"/>
        </w:rPr>
        <w:t xml:space="preserve">formulate a position paper on the </w:t>
      </w:r>
      <w:r w:rsidR="005A1C6B">
        <w:rPr>
          <w:rFonts w:ascii="Verdana" w:hAnsi="Verdana"/>
          <w:sz w:val="20"/>
          <w:szCs w:val="20"/>
          <w:lang w:val="en-US"/>
        </w:rPr>
        <w:t>main issues of the consultation,</w:t>
      </w:r>
      <w:r w:rsidR="00DF30A4">
        <w:rPr>
          <w:rFonts w:ascii="Verdana" w:hAnsi="Verdana"/>
          <w:sz w:val="20"/>
          <w:szCs w:val="20"/>
          <w:lang w:val="en-US"/>
        </w:rPr>
        <w:t xml:space="preserve"> based on </w:t>
      </w:r>
      <w:r w:rsidR="00DF30A4">
        <w:rPr>
          <w:rFonts w:ascii="Verdana" w:hAnsi="Verdana"/>
          <w:sz w:val="20"/>
          <w:szCs w:val="20"/>
          <w:lang w:val="en-US"/>
        </w:rPr>
        <w:lastRenderedPageBreak/>
        <w:t>work done in seminars and conferences of</w:t>
      </w:r>
      <w:r w:rsidR="005A1C6B">
        <w:rPr>
          <w:rFonts w:ascii="Verdana" w:hAnsi="Verdana"/>
          <w:sz w:val="20"/>
          <w:szCs w:val="20"/>
          <w:lang w:val="en-US"/>
        </w:rPr>
        <w:t xml:space="preserve"> the last years (Budapest, 2010;</w:t>
      </w:r>
      <w:r w:rsidR="00DF30A4">
        <w:rPr>
          <w:rFonts w:ascii="Verdana" w:hAnsi="Verdana"/>
          <w:sz w:val="20"/>
          <w:szCs w:val="20"/>
          <w:lang w:val="en-US"/>
        </w:rPr>
        <w:t xml:space="preserve"> Lisbon, 2012)</w:t>
      </w:r>
      <w:r w:rsidRPr="008A4EE3">
        <w:rPr>
          <w:rFonts w:ascii="Verdana" w:hAnsi="Verdana"/>
          <w:sz w:val="20"/>
          <w:szCs w:val="20"/>
          <w:lang w:val="en-US"/>
        </w:rPr>
        <w:t>.</w:t>
      </w:r>
      <w:r w:rsidR="005A1C6B">
        <w:rPr>
          <w:rStyle w:val="Voetnootmarkering"/>
          <w:rFonts w:ascii="Verdana" w:hAnsi="Verdana"/>
          <w:sz w:val="20"/>
          <w:szCs w:val="20"/>
          <w:lang w:val="en-US"/>
        </w:rPr>
        <w:footnoteReference w:id="2"/>
      </w:r>
    </w:p>
    <w:p w14:paraId="54E40542" w14:textId="77777777" w:rsidR="004E0612" w:rsidRPr="005A1C6B" w:rsidRDefault="004E0612" w:rsidP="004E0612">
      <w:pPr>
        <w:pStyle w:val="Duidelijkcitaat"/>
        <w:ind w:left="0"/>
        <w:rPr>
          <w:sz w:val="28"/>
          <w:szCs w:val="28"/>
          <w:lang w:val="en-GB"/>
        </w:rPr>
      </w:pPr>
      <w:r w:rsidRPr="005A1C6B">
        <w:rPr>
          <w:sz w:val="28"/>
          <w:szCs w:val="28"/>
          <w:lang w:val="en-GB"/>
        </w:rPr>
        <w:t>Central question of the consultation</w:t>
      </w:r>
    </w:p>
    <w:p w14:paraId="4AAA921D" w14:textId="77777777" w:rsidR="004E0612" w:rsidRDefault="004E0612" w:rsidP="004E0612">
      <w:pPr>
        <w:spacing w:after="0"/>
        <w:jc w:val="both"/>
        <w:rPr>
          <w:rFonts w:ascii="Verdana" w:hAnsi="Verdana"/>
          <w:sz w:val="20"/>
          <w:szCs w:val="20"/>
          <w:lang w:val="en-US"/>
        </w:rPr>
      </w:pPr>
      <w:r w:rsidRPr="004E0612">
        <w:rPr>
          <w:rFonts w:ascii="Verdana" w:hAnsi="Verdana"/>
          <w:sz w:val="20"/>
          <w:szCs w:val="20"/>
          <w:lang w:val="en-US"/>
        </w:rPr>
        <w:t>The central question of the consultation is: ‘Do the current policies  and the existing tran</w:t>
      </w:r>
      <w:r w:rsidR="0095709A">
        <w:rPr>
          <w:rFonts w:ascii="Verdana" w:hAnsi="Verdana"/>
          <w:sz w:val="20"/>
          <w:szCs w:val="20"/>
          <w:lang w:val="en-US"/>
        </w:rPr>
        <w:t>s</w:t>
      </w:r>
      <w:r w:rsidRPr="004E0612">
        <w:rPr>
          <w:rFonts w:ascii="Verdana" w:hAnsi="Verdana"/>
          <w:sz w:val="20"/>
          <w:szCs w:val="20"/>
          <w:lang w:val="en-US"/>
        </w:rPr>
        <w:t>parency instruments offer sufficient transparency and recognition of skills and competences in EU Member States? What would be the benefits of a ‘European area of skills and qualifications’?</w:t>
      </w:r>
    </w:p>
    <w:p w14:paraId="0CB433E9" w14:textId="77777777" w:rsidR="004E0612" w:rsidRPr="004E0612" w:rsidRDefault="004E0612" w:rsidP="004E0612">
      <w:pPr>
        <w:spacing w:after="0"/>
        <w:jc w:val="both"/>
        <w:rPr>
          <w:rFonts w:ascii="Verdana" w:hAnsi="Verdana"/>
          <w:sz w:val="20"/>
          <w:szCs w:val="20"/>
          <w:lang w:val="en-US"/>
        </w:rPr>
      </w:pPr>
    </w:p>
    <w:p w14:paraId="78382F28" w14:textId="77777777" w:rsidR="004E0612" w:rsidRPr="004E0612" w:rsidRDefault="004E0612" w:rsidP="004E0612">
      <w:pPr>
        <w:spacing w:after="0"/>
        <w:jc w:val="both"/>
        <w:rPr>
          <w:rFonts w:ascii="Verdana" w:hAnsi="Verdana"/>
          <w:sz w:val="20"/>
          <w:szCs w:val="20"/>
          <w:lang w:val="en-US"/>
        </w:rPr>
      </w:pPr>
      <w:r w:rsidRPr="004E0612">
        <w:rPr>
          <w:rFonts w:ascii="Verdana" w:hAnsi="Verdana"/>
          <w:sz w:val="20"/>
          <w:szCs w:val="20"/>
          <w:lang w:val="en-US"/>
        </w:rPr>
        <w:t>The consultation addresses in particular the following issues:</w:t>
      </w:r>
    </w:p>
    <w:p w14:paraId="1E76169B" w14:textId="77777777" w:rsidR="004E0612" w:rsidRPr="004E0612" w:rsidRDefault="004E0612" w:rsidP="004E0612">
      <w:pPr>
        <w:numPr>
          <w:ilvl w:val="0"/>
          <w:numId w:val="36"/>
        </w:numPr>
        <w:spacing w:after="0"/>
        <w:jc w:val="both"/>
        <w:rPr>
          <w:rFonts w:ascii="Verdana" w:hAnsi="Verdana"/>
          <w:sz w:val="20"/>
          <w:szCs w:val="20"/>
          <w:lang w:val="en-US"/>
        </w:rPr>
      </w:pPr>
      <w:r w:rsidRPr="004E0612">
        <w:rPr>
          <w:rFonts w:ascii="Verdana" w:hAnsi="Verdana"/>
          <w:sz w:val="20"/>
          <w:szCs w:val="20"/>
          <w:lang w:val="en-US"/>
        </w:rPr>
        <w:t>How to place a stronger focus on higher and more relevant skills?</w:t>
      </w:r>
    </w:p>
    <w:p w14:paraId="334E0290" w14:textId="77777777" w:rsidR="004E0612" w:rsidRPr="004E0612" w:rsidRDefault="004E0612" w:rsidP="004E0612">
      <w:pPr>
        <w:numPr>
          <w:ilvl w:val="0"/>
          <w:numId w:val="36"/>
        </w:numPr>
        <w:spacing w:after="0"/>
        <w:jc w:val="both"/>
        <w:rPr>
          <w:rFonts w:ascii="Verdana" w:hAnsi="Verdana"/>
          <w:sz w:val="20"/>
          <w:szCs w:val="20"/>
          <w:lang w:val="en-US"/>
        </w:rPr>
      </w:pPr>
      <w:r w:rsidRPr="004E0612">
        <w:rPr>
          <w:rFonts w:ascii="Verdana" w:hAnsi="Verdana"/>
          <w:sz w:val="20"/>
          <w:szCs w:val="20"/>
          <w:lang w:val="en-US"/>
        </w:rPr>
        <w:t xml:space="preserve">Further strengthening links between education/training, mobility and </w:t>
      </w:r>
      <w:proofErr w:type="spellStart"/>
      <w:r w:rsidRPr="004E0612">
        <w:rPr>
          <w:rFonts w:ascii="Verdana" w:hAnsi="Verdana"/>
          <w:sz w:val="20"/>
          <w:szCs w:val="20"/>
          <w:lang w:val="en-US"/>
        </w:rPr>
        <w:t>labour</w:t>
      </w:r>
      <w:proofErr w:type="spellEnd"/>
      <w:r w:rsidRPr="004E0612">
        <w:rPr>
          <w:rFonts w:ascii="Verdana" w:hAnsi="Verdana"/>
          <w:sz w:val="20"/>
          <w:szCs w:val="20"/>
          <w:lang w:val="en-US"/>
        </w:rPr>
        <w:t xml:space="preserve"> market</w:t>
      </w:r>
    </w:p>
    <w:p w14:paraId="52C52860" w14:textId="77777777" w:rsidR="004E0612" w:rsidRPr="004E0612" w:rsidRDefault="004E0612" w:rsidP="004E0612">
      <w:pPr>
        <w:numPr>
          <w:ilvl w:val="0"/>
          <w:numId w:val="36"/>
        </w:numPr>
        <w:spacing w:after="0"/>
        <w:jc w:val="both"/>
        <w:rPr>
          <w:rFonts w:ascii="Verdana" w:hAnsi="Verdana"/>
          <w:sz w:val="20"/>
          <w:szCs w:val="20"/>
        </w:rPr>
      </w:pPr>
      <w:proofErr w:type="spellStart"/>
      <w:r w:rsidRPr="004E0612">
        <w:rPr>
          <w:rFonts w:ascii="Verdana" w:hAnsi="Verdana"/>
          <w:sz w:val="20"/>
          <w:szCs w:val="20"/>
        </w:rPr>
        <w:t>Adapting</w:t>
      </w:r>
      <w:proofErr w:type="spellEnd"/>
      <w:r w:rsidRPr="004E0612">
        <w:rPr>
          <w:rFonts w:ascii="Verdana" w:hAnsi="Verdana"/>
          <w:sz w:val="20"/>
          <w:szCs w:val="20"/>
        </w:rPr>
        <w:t xml:space="preserve"> </w:t>
      </w:r>
      <w:proofErr w:type="spellStart"/>
      <w:r w:rsidRPr="004E0612">
        <w:rPr>
          <w:rFonts w:ascii="Verdana" w:hAnsi="Verdana"/>
          <w:sz w:val="20"/>
          <w:szCs w:val="20"/>
        </w:rPr>
        <w:t>to</w:t>
      </w:r>
      <w:proofErr w:type="spellEnd"/>
      <w:r w:rsidRPr="004E0612">
        <w:rPr>
          <w:rFonts w:ascii="Verdana" w:hAnsi="Verdana"/>
          <w:sz w:val="20"/>
          <w:szCs w:val="20"/>
        </w:rPr>
        <w:t xml:space="preserve"> </w:t>
      </w:r>
      <w:proofErr w:type="spellStart"/>
      <w:r w:rsidRPr="004E0612">
        <w:rPr>
          <w:rFonts w:ascii="Verdana" w:hAnsi="Verdana"/>
          <w:sz w:val="20"/>
          <w:szCs w:val="20"/>
        </w:rPr>
        <w:t>internationalisation</w:t>
      </w:r>
      <w:proofErr w:type="spellEnd"/>
      <w:r w:rsidRPr="004E0612">
        <w:rPr>
          <w:rFonts w:ascii="Verdana" w:hAnsi="Verdana"/>
          <w:sz w:val="20"/>
          <w:szCs w:val="20"/>
        </w:rPr>
        <w:t xml:space="preserve"> trends</w:t>
      </w:r>
    </w:p>
    <w:p w14:paraId="70AAD173" w14:textId="77777777" w:rsidR="004E0612" w:rsidRPr="004E0612" w:rsidRDefault="004E0612" w:rsidP="004E0612">
      <w:pPr>
        <w:numPr>
          <w:ilvl w:val="0"/>
          <w:numId w:val="36"/>
        </w:numPr>
        <w:spacing w:after="0"/>
        <w:jc w:val="both"/>
        <w:rPr>
          <w:rFonts w:ascii="Verdana" w:hAnsi="Verdana"/>
          <w:sz w:val="20"/>
          <w:szCs w:val="20"/>
          <w:lang w:val="en-US"/>
        </w:rPr>
      </w:pPr>
      <w:r w:rsidRPr="004E0612">
        <w:rPr>
          <w:rFonts w:ascii="Verdana" w:hAnsi="Verdana"/>
          <w:sz w:val="20"/>
          <w:szCs w:val="20"/>
          <w:lang w:val="en-US"/>
        </w:rPr>
        <w:t>Ensuring overall coherence of rules and procedures for the recognition of skills and qualifications for further learning</w:t>
      </w:r>
    </w:p>
    <w:p w14:paraId="64321C2A" w14:textId="77777777" w:rsidR="004E0612" w:rsidRPr="004E0612" w:rsidRDefault="004E0612" w:rsidP="004E0612">
      <w:pPr>
        <w:numPr>
          <w:ilvl w:val="0"/>
          <w:numId w:val="36"/>
        </w:numPr>
        <w:spacing w:after="0"/>
        <w:jc w:val="both"/>
        <w:rPr>
          <w:rFonts w:ascii="Verdana" w:hAnsi="Verdana"/>
          <w:sz w:val="20"/>
          <w:szCs w:val="20"/>
          <w:lang w:val="en-US"/>
        </w:rPr>
      </w:pPr>
      <w:r w:rsidRPr="004E0612">
        <w:rPr>
          <w:rFonts w:ascii="Verdana" w:hAnsi="Verdana"/>
          <w:sz w:val="20"/>
          <w:szCs w:val="20"/>
          <w:lang w:val="en-US"/>
        </w:rPr>
        <w:t>Increasing the focus on quality assurance</w:t>
      </w:r>
    </w:p>
    <w:p w14:paraId="716F6CF8" w14:textId="77777777" w:rsidR="004E0612" w:rsidRDefault="004E0612" w:rsidP="004E0612">
      <w:pPr>
        <w:numPr>
          <w:ilvl w:val="0"/>
          <w:numId w:val="36"/>
        </w:numPr>
        <w:spacing w:after="0"/>
        <w:jc w:val="both"/>
        <w:rPr>
          <w:rFonts w:ascii="Verdana" w:hAnsi="Verdana"/>
          <w:sz w:val="20"/>
          <w:szCs w:val="20"/>
          <w:lang w:val="en-US"/>
        </w:rPr>
      </w:pPr>
      <w:r w:rsidRPr="004E0612">
        <w:rPr>
          <w:rFonts w:ascii="Verdana" w:hAnsi="Verdana"/>
          <w:sz w:val="20"/>
          <w:szCs w:val="20"/>
          <w:lang w:val="en-US"/>
        </w:rPr>
        <w:t>Providing learners and workers with a single access poin</w:t>
      </w:r>
      <w:r>
        <w:rPr>
          <w:rFonts w:ascii="Verdana" w:hAnsi="Verdana"/>
          <w:sz w:val="20"/>
          <w:szCs w:val="20"/>
          <w:lang w:val="en-US"/>
        </w:rPr>
        <w:t>t</w:t>
      </w:r>
      <w:r w:rsidRPr="004E0612">
        <w:rPr>
          <w:rFonts w:ascii="Verdana" w:hAnsi="Verdana"/>
          <w:sz w:val="20"/>
          <w:szCs w:val="20"/>
          <w:lang w:val="en-US"/>
        </w:rPr>
        <w:t xml:space="preserve"> to obtain information and services supporting a European area of skills and qualifications</w:t>
      </w:r>
    </w:p>
    <w:p w14:paraId="4CD5AA90" w14:textId="77777777" w:rsidR="00651E9A" w:rsidRPr="0094021C" w:rsidRDefault="00651E9A" w:rsidP="00651E9A">
      <w:pPr>
        <w:spacing w:after="0"/>
        <w:ind w:left="720"/>
        <w:jc w:val="both"/>
        <w:rPr>
          <w:rFonts w:ascii="Verdana" w:hAnsi="Verdana"/>
          <w:sz w:val="20"/>
          <w:szCs w:val="20"/>
          <w:lang w:val="en-US"/>
        </w:rPr>
      </w:pPr>
    </w:p>
    <w:p w14:paraId="5AB44DA5" w14:textId="77777777" w:rsidR="004E0612" w:rsidRPr="005A1C6B" w:rsidRDefault="004E0612" w:rsidP="004E0612">
      <w:pPr>
        <w:pStyle w:val="Duidelijkcitaat"/>
        <w:ind w:left="0"/>
        <w:rPr>
          <w:sz w:val="28"/>
          <w:szCs w:val="28"/>
          <w:lang w:val="en-GB"/>
        </w:rPr>
      </w:pPr>
      <w:r w:rsidRPr="005A1C6B">
        <w:rPr>
          <w:sz w:val="28"/>
          <w:szCs w:val="28"/>
          <w:lang w:val="en-GB"/>
        </w:rPr>
        <w:t>General reflections</w:t>
      </w:r>
    </w:p>
    <w:p w14:paraId="52138DFA" w14:textId="3FD4D285" w:rsidR="004E0612" w:rsidRPr="00CA5FBA" w:rsidRDefault="00AD6E78" w:rsidP="004E0612">
      <w:pPr>
        <w:spacing w:after="0"/>
        <w:jc w:val="both"/>
        <w:rPr>
          <w:rFonts w:ascii="Verdana" w:hAnsi="Verdana"/>
          <w:sz w:val="20"/>
          <w:szCs w:val="20"/>
          <w:highlight w:val="yellow"/>
          <w:lang w:val="en-US"/>
        </w:rPr>
      </w:pPr>
      <w:r>
        <w:rPr>
          <w:rFonts w:ascii="Verdana" w:hAnsi="Verdana"/>
          <w:sz w:val="20"/>
          <w:szCs w:val="20"/>
          <w:lang w:val="en-US"/>
        </w:rPr>
        <w:t>T</w:t>
      </w:r>
      <w:r w:rsidR="004E0612" w:rsidRPr="004E0612">
        <w:rPr>
          <w:rFonts w:ascii="Verdana" w:hAnsi="Verdana"/>
          <w:sz w:val="20"/>
          <w:szCs w:val="20"/>
          <w:lang w:val="en-US"/>
        </w:rPr>
        <w:t xml:space="preserve">his proposal for a ‘European area of skills and qualifications’ </w:t>
      </w:r>
      <w:r w:rsidR="004E0612">
        <w:rPr>
          <w:rFonts w:ascii="Verdana" w:hAnsi="Verdana"/>
          <w:sz w:val="20"/>
          <w:szCs w:val="20"/>
          <w:lang w:val="en-US"/>
        </w:rPr>
        <w:t>is to boost</w:t>
      </w:r>
      <w:r w:rsidR="004E0612" w:rsidRPr="004E0612">
        <w:rPr>
          <w:rFonts w:ascii="Verdana" w:hAnsi="Verdana"/>
          <w:sz w:val="20"/>
          <w:szCs w:val="20"/>
          <w:lang w:val="en-US"/>
        </w:rPr>
        <w:t xml:space="preserve"> the mobility of learners and workers</w:t>
      </w:r>
      <w:r>
        <w:rPr>
          <w:rFonts w:ascii="Verdana" w:hAnsi="Verdana"/>
          <w:sz w:val="20"/>
          <w:szCs w:val="20"/>
          <w:lang w:val="en-US"/>
        </w:rPr>
        <w:t xml:space="preserve"> but from the perspective of </w:t>
      </w:r>
      <w:r w:rsidR="004E0612" w:rsidRPr="004E0612">
        <w:rPr>
          <w:rFonts w:ascii="Verdana" w:hAnsi="Verdana"/>
          <w:sz w:val="20"/>
          <w:szCs w:val="20"/>
          <w:lang w:val="en-US"/>
        </w:rPr>
        <w:t xml:space="preserve">EUNEC these proposals </w:t>
      </w:r>
      <w:r w:rsidR="009A64F1">
        <w:rPr>
          <w:rFonts w:ascii="Verdana" w:hAnsi="Verdana"/>
          <w:sz w:val="20"/>
          <w:szCs w:val="20"/>
          <w:lang w:val="en-US"/>
        </w:rPr>
        <w:t>create opportunities to</w:t>
      </w:r>
      <w:r>
        <w:rPr>
          <w:rFonts w:ascii="Verdana" w:hAnsi="Verdana"/>
          <w:sz w:val="20"/>
          <w:szCs w:val="20"/>
          <w:lang w:val="en-US"/>
        </w:rPr>
        <w:t xml:space="preserve"> strengthen the ongoing innovation of education and training systems (</w:t>
      </w:r>
      <w:r w:rsidR="00580E0E">
        <w:rPr>
          <w:rFonts w:ascii="Verdana" w:hAnsi="Verdana"/>
          <w:sz w:val="20"/>
          <w:szCs w:val="20"/>
          <w:lang w:val="en-US"/>
        </w:rPr>
        <w:t xml:space="preserve">use of key competences, learning outcomes, transparency of education and training qualifications, boost the recognition of informal and </w:t>
      </w:r>
      <w:proofErr w:type="spellStart"/>
      <w:r w:rsidR="00580E0E">
        <w:rPr>
          <w:rFonts w:ascii="Verdana" w:hAnsi="Verdana"/>
          <w:sz w:val="20"/>
          <w:szCs w:val="20"/>
          <w:lang w:val="en-US"/>
        </w:rPr>
        <w:t>non formal</w:t>
      </w:r>
      <w:proofErr w:type="spellEnd"/>
      <w:r w:rsidR="00580E0E">
        <w:rPr>
          <w:rFonts w:ascii="Verdana" w:hAnsi="Verdana"/>
          <w:sz w:val="20"/>
          <w:szCs w:val="20"/>
          <w:lang w:val="en-US"/>
        </w:rPr>
        <w:t xml:space="preserve"> learning</w:t>
      </w:r>
      <w:r w:rsidR="005A1C6B">
        <w:rPr>
          <w:rFonts w:ascii="Verdana" w:hAnsi="Verdana"/>
          <w:sz w:val="20"/>
          <w:szCs w:val="20"/>
          <w:lang w:val="en-US"/>
        </w:rPr>
        <w:t>)</w:t>
      </w:r>
      <w:r w:rsidR="00580E0E">
        <w:rPr>
          <w:rFonts w:ascii="Verdana" w:hAnsi="Verdana"/>
          <w:sz w:val="20"/>
          <w:szCs w:val="20"/>
          <w:lang w:val="en-US"/>
        </w:rPr>
        <w:t xml:space="preserve">.  This offers a lot </w:t>
      </w:r>
      <w:r w:rsidR="00062EB2">
        <w:rPr>
          <w:rFonts w:ascii="Verdana" w:hAnsi="Verdana"/>
          <w:sz w:val="20"/>
          <w:szCs w:val="20"/>
          <w:lang w:val="en-US"/>
        </w:rPr>
        <w:t>of opportunities for mobility in vocational education and training. In this sens</w:t>
      </w:r>
      <w:r w:rsidR="002A23AE">
        <w:rPr>
          <w:rFonts w:ascii="Verdana" w:hAnsi="Verdana"/>
          <w:sz w:val="20"/>
          <w:szCs w:val="20"/>
          <w:lang w:val="en-US"/>
        </w:rPr>
        <w:t>e</w:t>
      </w:r>
      <w:r w:rsidR="00062EB2">
        <w:rPr>
          <w:rFonts w:ascii="Verdana" w:hAnsi="Verdana"/>
          <w:sz w:val="20"/>
          <w:szCs w:val="20"/>
          <w:lang w:val="en-US"/>
        </w:rPr>
        <w:t xml:space="preserve">, EUNEC welcomes the proposal, </w:t>
      </w:r>
      <w:r w:rsidR="00580E0E" w:rsidRPr="00651E9A">
        <w:rPr>
          <w:rFonts w:ascii="Verdana" w:hAnsi="Verdana"/>
          <w:sz w:val="20"/>
          <w:szCs w:val="20"/>
          <w:lang w:val="en-US"/>
        </w:rPr>
        <w:t xml:space="preserve">but </w:t>
      </w:r>
      <w:r w:rsidR="00062EB2">
        <w:rPr>
          <w:rFonts w:ascii="Verdana" w:hAnsi="Verdana"/>
          <w:sz w:val="20"/>
          <w:szCs w:val="20"/>
          <w:lang w:val="en-US"/>
        </w:rPr>
        <w:t xml:space="preserve">it </w:t>
      </w:r>
      <w:r w:rsidR="00580E0E" w:rsidRPr="00651E9A">
        <w:rPr>
          <w:rFonts w:ascii="Verdana" w:hAnsi="Verdana"/>
          <w:sz w:val="20"/>
          <w:szCs w:val="20"/>
          <w:lang w:val="en-US"/>
        </w:rPr>
        <w:t xml:space="preserve">should not </w:t>
      </w:r>
      <w:r w:rsidR="004E0612" w:rsidRPr="00651E9A">
        <w:rPr>
          <w:rFonts w:ascii="Verdana" w:hAnsi="Verdana"/>
          <w:sz w:val="20"/>
          <w:szCs w:val="20"/>
          <w:lang w:val="en-US"/>
        </w:rPr>
        <w:t>lead to a convergence of educational</w:t>
      </w:r>
      <w:r w:rsidR="00580E0E" w:rsidRPr="00651E9A">
        <w:rPr>
          <w:rFonts w:ascii="Verdana" w:hAnsi="Verdana"/>
          <w:sz w:val="20"/>
          <w:szCs w:val="20"/>
          <w:lang w:val="en-US"/>
        </w:rPr>
        <w:t xml:space="preserve"> and training</w:t>
      </w:r>
      <w:r w:rsidR="004E0612" w:rsidRPr="00651E9A">
        <w:rPr>
          <w:rFonts w:ascii="Verdana" w:hAnsi="Verdana"/>
          <w:sz w:val="20"/>
          <w:szCs w:val="20"/>
          <w:lang w:val="en-US"/>
        </w:rPr>
        <w:t xml:space="preserve"> systems.</w:t>
      </w:r>
      <w:r w:rsidR="00CA5FBA" w:rsidRPr="00651E9A">
        <w:rPr>
          <w:rFonts w:ascii="Verdana" w:hAnsi="Verdana"/>
          <w:sz w:val="20"/>
          <w:szCs w:val="20"/>
          <w:lang w:val="en-US"/>
        </w:rPr>
        <w:t xml:space="preserve"> Transparency is </w:t>
      </w:r>
      <w:r w:rsidR="00651E9A" w:rsidRPr="00651E9A">
        <w:rPr>
          <w:rFonts w:ascii="Verdana" w:hAnsi="Verdana"/>
          <w:sz w:val="20"/>
          <w:szCs w:val="20"/>
          <w:lang w:val="en-US"/>
        </w:rPr>
        <w:t>an added value</w:t>
      </w:r>
      <w:r w:rsidR="00CA5FBA" w:rsidRPr="00651E9A">
        <w:rPr>
          <w:rFonts w:ascii="Verdana" w:hAnsi="Verdana"/>
          <w:sz w:val="20"/>
          <w:szCs w:val="20"/>
          <w:lang w:val="en-US"/>
        </w:rPr>
        <w:t xml:space="preserve">, but uniformity is not the objective: according to the principle of subsidiarity, considerations at local, regional and national level remain decisive factors. </w:t>
      </w:r>
    </w:p>
    <w:p w14:paraId="533AA442" w14:textId="77777777" w:rsidR="004E0612" w:rsidRPr="004E0612" w:rsidRDefault="004E0612" w:rsidP="004E0612">
      <w:pPr>
        <w:spacing w:after="0"/>
        <w:jc w:val="both"/>
        <w:rPr>
          <w:rFonts w:ascii="Verdana" w:hAnsi="Verdana"/>
          <w:sz w:val="20"/>
          <w:szCs w:val="20"/>
          <w:lang w:val="en-US"/>
        </w:rPr>
      </w:pPr>
    </w:p>
    <w:p w14:paraId="1D5DD8A5" w14:textId="77777777" w:rsidR="005A1C6B" w:rsidRDefault="004E0612" w:rsidP="00325BE3">
      <w:pPr>
        <w:spacing w:after="0"/>
        <w:jc w:val="both"/>
        <w:rPr>
          <w:rFonts w:ascii="Verdana" w:hAnsi="Verdana"/>
          <w:sz w:val="20"/>
          <w:szCs w:val="20"/>
          <w:lang w:val="en-US"/>
        </w:rPr>
      </w:pPr>
      <w:r w:rsidRPr="004E0612">
        <w:rPr>
          <w:rFonts w:ascii="Verdana" w:hAnsi="Verdana"/>
          <w:sz w:val="20"/>
          <w:szCs w:val="20"/>
          <w:lang w:val="en-US"/>
        </w:rPr>
        <w:t xml:space="preserve">The existing </w:t>
      </w:r>
      <w:r w:rsidR="00580E0E">
        <w:rPr>
          <w:rFonts w:ascii="Verdana" w:hAnsi="Verdana"/>
          <w:sz w:val="20"/>
          <w:szCs w:val="20"/>
          <w:lang w:val="en-US"/>
        </w:rPr>
        <w:t xml:space="preserve">European </w:t>
      </w:r>
      <w:r w:rsidRPr="004E0612">
        <w:rPr>
          <w:rFonts w:ascii="Verdana" w:hAnsi="Verdana"/>
          <w:sz w:val="20"/>
          <w:szCs w:val="20"/>
          <w:lang w:val="en-US"/>
        </w:rPr>
        <w:t>instruments are not sufficiently transparent for the users (the learners, the companies, the institutions).  Transparency and efficiency have to be the key elements of an evaluation.</w:t>
      </w:r>
    </w:p>
    <w:p w14:paraId="07BECC61" w14:textId="77777777" w:rsidR="005A1C6B" w:rsidRDefault="005A1C6B" w:rsidP="00325BE3">
      <w:pPr>
        <w:spacing w:after="0"/>
        <w:jc w:val="both"/>
        <w:rPr>
          <w:rFonts w:ascii="Verdana" w:hAnsi="Verdana"/>
          <w:sz w:val="20"/>
          <w:szCs w:val="20"/>
          <w:lang w:val="en-US"/>
        </w:rPr>
      </w:pPr>
    </w:p>
    <w:p w14:paraId="26FC2BE3" w14:textId="344CF77A" w:rsidR="00580E0E" w:rsidRDefault="004E0612" w:rsidP="00325BE3">
      <w:pPr>
        <w:spacing w:after="0"/>
        <w:jc w:val="both"/>
        <w:rPr>
          <w:rFonts w:ascii="Verdana" w:hAnsi="Verdana"/>
          <w:sz w:val="20"/>
          <w:szCs w:val="20"/>
          <w:lang w:val="en-US"/>
        </w:rPr>
      </w:pPr>
      <w:r w:rsidRPr="004E0612">
        <w:rPr>
          <w:rFonts w:ascii="Verdana" w:hAnsi="Verdana"/>
          <w:sz w:val="20"/>
          <w:szCs w:val="20"/>
          <w:lang w:val="en-US"/>
        </w:rPr>
        <w:t xml:space="preserve">The existing procedures are too bureaucratic and not flexible enough. </w:t>
      </w:r>
    </w:p>
    <w:p w14:paraId="332C58AA" w14:textId="77777777" w:rsidR="00580E0E" w:rsidRDefault="00580E0E" w:rsidP="00325BE3">
      <w:pPr>
        <w:spacing w:after="0"/>
        <w:jc w:val="both"/>
        <w:rPr>
          <w:rFonts w:ascii="Verdana" w:hAnsi="Verdana"/>
          <w:sz w:val="20"/>
          <w:szCs w:val="20"/>
          <w:lang w:val="en-US"/>
        </w:rPr>
      </w:pPr>
    </w:p>
    <w:p w14:paraId="24F1CF8F" w14:textId="4139890E" w:rsidR="005A1C6B" w:rsidRDefault="004E0612" w:rsidP="00325BE3">
      <w:pPr>
        <w:spacing w:after="0"/>
        <w:jc w:val="both"/>
        <w:rPr>
          <w:rFonts w:ascii="Verdana" w:hAnsi="Verdana"/>
          <w:sz w:val="20"/>
          <w:szCs w:val="20"/>
          <w:lang w:val="en-US"/>
        </w:rPr>
      </w:pPr>
      <w:r w:rsidRPr="004E0612">
        <w:rPr>
          <w:rFonts w:ascii="Verdana" w:hAnsi="Verdana"/>
          <w:sz w:val="20"/>
          <w:szCs w:val="20"/>
          <w:lang w:val="en-US"/>
        </w:rPr>
        <w:t xml:space="preserve">Too many initiatives coming from different </w:t>
      </w:r>
      <w:r w:rsidR="009A64F1">
        <w:rPr>
          <w:rFonts w:ascii="Verdana" w:hAnsi="Verdana"/>
          <w:sz w:val="20"/>
          <w:szCs w:val="20"/>
          <w:lang w:val="en-US"/>
        </w:rPr>
        <w:t>DG’s of the European Commission</w:t>
      </w:r>
      <w:r w:rsidRPr="004E0612">
        <w:rPr>
          <w:rFonts w:ascii="Verdana" w:hAnsi="Verdana"/>
          <w:sz w:val="20"/>
          <w:szCs w:val="20"/>
          <w:lang w:val="en-US"/>
        </w:rPr>
        <w:t xml:space="preserve"> are not well coordinated. This is the case for the European Professional Qualifications Directive</w:t>
      </w:r>
      <w:r>
        <w:rPr>
          <w:rFonts w:ascii="Verdana" w:hAnsi="Verdana"/>
          <w:sz w:val="20"/>
          <w:szCs w:val="20"/>
          <w:lang w:val="en-US"/>
        </w:rPr>
        <w:t>, which</w:t>
      </w:r>
      <w:r w:rsidRPr="004E0612">
        <w:rPr>
          <w:rFonts w:ascii="Verdana" w:hAnsi="Verdana"/>
          <w:sz w:val="20"/>
          <w:szCs w:val="20"/>
          <w:lang w:val="en-US"/>
        </w:rPr>
        <w:t xml:space="preserve"> does not take into account the developments in the field of the European Qualifications Framework.  This is a missed opportunity.</w:t>
      </w:r>
    </w:p>
    <w:p w14:paraId="7D0E4894" w14:textId="77777777" w:rsidR="00651E9A" w:rsidRDefault="00651E9A" w:rsidP="00325BE3">
      <w:pPr>
        <w:spacing w:after="0"/>
        <w:jc w:val="both"/>
        <w:rPr>
          <w:rFonts w:ascii="Verdana" w:hAnsi="Verdana"/>
          <w:sz w:val="20"/>
          <w:szCs w:val="20"/>
          <w:lang w:val="en-US"/>
        </w:rPr>
      </w:pPr>
    </w:p>
    <w:p w14:paraId="28035392" w14:textId="77777777" w:rsidR="00651E9A" w:rsidRDefault="00651E9A" w:rsidP="00325BE3">
      <w:pPr>
        <w:spacing w:after="0"/>
        <w:jc w:val="both"/>
        <w:rPr>
          <w:rFonts w:ascii="Verdana" w:hAnsi="Verdana"/>
          <w:sz w:val="20"/>
          <w:szCs w:val="20"/>
          <w:lang w:val="en-US"/>
        </w:rPr>
      </w:pPr>
    </w:p>
    <w:p w14:paraId="22A9E0FB" w14:textId="77777777" w:rsidR="00651E9A" w:rsidRDefault="00651E9A" w:rsidP="00325BE3">
      <w:pPr>
        <w:spacing w:after="0"/>
        <w:jc w:val="both"/>
        <w:rPr>
          <w:rFonts w:ascii="Verdana" w:hAnsi="Verdana"/>
          <w:sz w:val="20"/>
          <w:szCs w:val="20"/>
          <w:lang w:val="en-US"/>
        </w:rPr>
      </w:pPr>
    </w:p>
    <w:p w14:paraId="6A28C7F6" w14:textId="77777777" w:rsidR="00651E9A" w:rsidRDefault="00651E9A" w:rsidP="00325BE3">
      <w:pPr>
        <w:spacing w:after="0"/>
        <w:jc w:val="both"/>
        <w:rPr>
          <w:rFonts w:ascii="Verdana" w:hAnsi="Verdana"/>
          <w:sz w:val="20"/>
          <w:szCs w:val="20"/>
          <w:lang w:val="en-US"/>
        </w:rPr>
      </w:pPr>
    </w:p>
    <w:p w14:paraId="398C0CD9" w14:textId="77777777" w:rsidR="00651E9A" w:rsidRDefault="00651E9A" w:rsidP="00325BE3">
      <w:pPr>
        <w:spacing w:after="0"/>
        <w:jc w:val="both"/>
        <w:rPr>
          <w:rFonts w:ascii="Verdana" w:hAnsi="Verdana"/>
          <w:sz w:val="20"/>
          <w:szCs w:val="20"/>
          <w:lang w:val="en-US"/>
        </w:rPr>
      </w:pPr>
    </w:p>
    <w:p w14:paraId="7C7BD90F" w14:textId="77777777" w:rsidR="00CA5FBA" w:rsidRDefault="00CA5FBA" w:rsidP="00325BE3">
      <w:pPr>
        <w:spacing w:after="0"/>
        <w:jc w:val="both"/>
        <w:rPr>
          <w:rFonts w:ascii="Verdana" w:hAnsi="Verdana"/>
          <w:sz w:val="20"/>
          <w:szCs w:val="20"/>
          <w:lang w:val="en-US"/>
        </w:rPr>
      </w:pPr>
    </w:p>
    <w:p w14:paraId="3AF74095" w14:textId="77777777" w:rsidR="004E0612" w:rsidRPr="005A1C6B" w:rsidRDefault="004E0612" w:rsidP="0094021C">
      <w:pPr>
        <w:pStyle w:val="Duidelijkcitaat"/>
        <w:spacing w:after="100" w:afterAutospacing="1" w:line="240" w:lineRule="auto"/>
        <w:ind w:left="0"/>
        <w:rPr>
          <w:sz w:val="28"/>
          <w:szCs w:val="28"/>
          <w:lang w:val="en-GB"/>
        </w:rPr>
      </w:pPr>
      <w:r w:rsidRPr="005A1C6B">
        <w:rPr>
          <w:sz w:val="28"/>
          <w:szCs w:val="28"/>
          <w:lang w:val="en-GB"/>
        </w:rPr>
        <w:t>EUNEC reaction to the proposals of the European Commission</w:t>
      </w:r>
    </w:p>
    <w:p w14:paraId="3A756AF9" w14:textId="77777777" w:rsidR="004E0612" w:rsidRPr="004E0612" w:rsidRDefault="004E0612" w:rsidP="0094021C">
      <w:pPr>
        <w:pStyle w:val="Kop1"/>
        <w:spacing w:after="100" w:afterAutospacing="1" w:line="240" w:lineRule="auto"/>
        <w:rPr>
          <w:lang w:val="en-US"/>
        </w:rPr>
      </w:pPr>
      <w:r w:rsidRPr="004E0612">
        <w:rPr>
          <w:lang w:val="en-US"/>
        </w:rPr>
        <w:t>How to place a stronger focus on higher and more relevant skills?</w:t>
      </w:r>
    </w:p>
    <w:p w14:paraId="459599F0" w14:textId="77777777" w:rsidR="004E0612" w:rsidRPr="004E0612" w:rsidRDefault="004E0612" w:rsidP="004E0612">
      <w:pPr>
        <w:pStyle w:val="Kop2"/>
      </w:pPr>
      <w:proofErr w:type="spellStart"/>
      <w:r w:rsidRPr="004E0612">
        <w:t>Proposal</w:t>
      </w:r>
      <w:proofErr w:type="spellEnd"/>
    </w:p>
    <w:p w14:paraId="173F70F8" w14:textId="41E60810" w:rsidR="004E0612" w:rsidRPr="004E0612" w:rsidRDefault="004E0612" w:rsidP="004E0612">
      <w:pPr>
        <w:spacing w:after="0"/>
        <w:jc w:val="both"/>
        <w:rPr>
          <w:rFonts w:ascii="Verdana" w:hAnsi="Verdana"/>
          <w:sz w:val="20"/>
          <w:szCs w:val="20"/>
          <w:lang w:val="en-US"/>
        </w:rPr>
      </w:pPr>
      <w:r w:rsidRPr="004E0612">
        <w:rPr>
          <w:rFonts w:ascii="Verdana" w:hAnsi="Verdana"/>
          <w:sz w:val="20"/>
          <w:szCs w:val="20"/>
          <w:lang w:val="en-US"/>
        </w:rPr>
        <w:t xml:space="preserve">European education and training systems fall short in providing the right skills </w:t>
      </w:r>
      <w:r w:rsidR="00580E0E">
        <w:rPr>
          <w:rFonts w:ascii="Verdana" w:hAnsi="Verdana"/>
          <w:sz w:val="20"/>
          <w:szCs w:val="20"/>
          <w:lang w:val="en-US"/>
        </w:rPr>
        <w:t>(literacy, numeracy, key competences in general (</w:t>
      </w:r>
      <w:proofErr w:type="spellStart"/>
      <w:r w:rsidR="00580E0E">
        <w:rPr>
          <w:rFonts w:ascii="Verdana" w:hAnsi="Verdana"/>
          <w:sz w:val="20"/>
          <w:szCs w:val="20"/>
          <w:lang w:val="en-US"/>
        </w:rPr>
        <w:t>cfr</w:t>
      </w:r>
      <w:proofErr w:type="spellEnd"/>
      <w:r w:rsidR="00580E0E">
        <w:rPr>
          <w:rFonts w:ascii="Verdana" w:hAnsi="Verdana"/>
          <w:sz w:val="20"/>
          <w:szCs w:val="20"/>
          <w:lang w:val="en-US"/>
        </w:rPr>
        <w:t>. PISA and PIAAC))</w:t>
      </w:r>
      <w:r w:rsidRPr="004E0612">
        <w:rPr>
          <w:rFonts w:ascii="Verdana" w:hAnsi="Verdana"/>
          <w:sz w:val="20"/>
          <w:szCs w:val="20"/>
          <w:lang w:val="en-US"/>
        </w:rPr>
        <w:t xml:space="preserve">. In order to contribute more effectively to individuals’ employability, personal and social development and active citizenship, education and training systems should focus on delivering up-to-date and relevant knowledge, skills and competences. </w:t>
      </w:r>
    </w:p>
    <w:p w14:paraId="77DD9955" w14:textId="6BB467FB" w:rsidR="004E0612" w:rsidRPr="004E0612" w:rsidRDefault="004E0612" w:rsidP="004E0612">
      <w:pPr>
        <w:spacing w:after="0"/>
        <w:jc w:val="both"/>
        <w:rPr>
          <w:rFonts w:ascii="Verdana" w:hAnsi="Verdana"/>
          <w:sz w:val="20"/>
          <w:szCs w:val="20"/>
          <w:lang w:val="en-US"/>
        </w:rPr>
      </w:pPr>
      <w:r w:rsidRPr="004E0612">
        <w:rPr>
          <w:rFonts w:ascii="Verdana" w:hAnsi="Verdana"/>
          <w:sz w:val="20"/>
          <w:szCs w:val="20"/>
          <w:lang w:val="en-US"/>
        </w:rPr>
        <w:t xml:space="preserve">To help Member States and educational institutions enhance the focus on learning outcomes, European reference frameworks could set out </w:t>
      </w:r>
      <w:r w:rsidR="00580E0E">
        <w:rPr>
          <w:rFonts w:ascii="Verdana" w:hAnsi="Verdana"/>
          <w:sz w:val="20"/>
          <w:szCs w:val="20"/>
          <w:lang w:val="en-US"/>
        </w:rPr>
        <w:t>concrete levels of specific competences, starting with the ones in the European framework for key competences</w:t>
      </w:r>
      <w:r w:rsidR="005A1C6B">
        <w:rPr>
          <w:rFonts w:ascii="Verdana" w:hAnsi="Verdana"/>
          <w:sz w:val="20"/>
          <w:szCs w:val="20"/>
          <w:lang w:val="en-US"/>
        </w:rPr>
        <w:t>.</w:t>
      </w:r>
      <w:r w:rsidR="00580E0E">
        <w:rPr>
          <w:rFonts w:ascii="Verdana" w:hAnsi="Verdana"/>
          <w:sz w:val="20"/>
          <w:szCs w:val="20"/>
          <w:lang w:val="en-US"/>
        </w:rPr>
        <w:t xml:space="preserve"> The framework for </w:t>
      </w:r>
      <w:r w:rsidRPr="004E0612">
        <w:rPr>
          <w:rFonts w:ascii="Verdana" w:hAnsi="Verdana"/>
          <w:sz w:val="20"/>
          <w:szCs w:val="20"/>
          <w:lang w:val="en-US"/>
        </w:rPr>
        <w:t>language competence</w:t>
      </w:r>
      <w:r w:rsidR="00580E0E">
        <w:rPr>
          <w:rFonts w:ascii="Verdana" w:hAnsi="Verdana"/>
          <w:sz w:val="20"/>
          <w:szCs w:val="20"/>
          <w:lang w:val="en-US"/>
        </w:rPr>
        <w:t>s could serve as an example for this project</w:t>
      </w:r>
      <w:r w:rsidRPr="004E0612">
        <w:rPr>
          <w:rFonts w:ascii="Verdana" w:hAnsi="Verdana"/>
          <w:sz w:val="20"/>
          <w:szCs w:val="20"/>
          <w:vertAlign w:val="superscript"/>
        </w:rPr>
        <w:footnoteReference w:id="3"/>
      </w:r>
      <w:r w:rsidRPr="004E0612">
        <w:rPr>
          <w:rFonts w:ascii="Verdana" w:hAnsi="Verdana"/>
          <w:sz w:val="20"/>
          <w:szCs w:val="20"/>
          <w:lang w:val="en-US"/>
        </w:rPr>
        <w:t xml:space="preserve">. </w:t>
      </w:r>
      <w:r w:rsidR="00580E0E">
        <w:rPr>
          <w:rFonts w:ascii="Verdana" w:hAnsi="Verdana"/>
          <w:sz w:val="20"/>
          <w:szCs w:val="20"/>
          <w:lang w:val="en-US"/>
        </w:rPr>
        <w:t xml:space="preserve">Later on this </w:t>
      </w:r>
      <w:r w:rsidRPr="004E0612">
        <w:rPr>
          <w:rFonts w:ascii="Verdana" w:hAnsi="Verdana"/>
          <w:sz w:val="20"/>
          <w:szCs w:val="20"/>
          <w:lang w:val="en-US"/>
        </w:rPr>
        <w:t>could  be extended to other relevan</w:t>
      </w:r>
      <w:r w:rsidR="0095709A">
        <w:rPr>
          <w:rFonts w:ascii="Verdana" w:hAnsi="Verdana"/>
          <w:sz w:val="20"/>
          <w:szCs w:val="20"/>
          <w:lang w:val="en-US"/>
        </w:rPr>
        <w:t xml:space="preserve">t </w:t>
      </w:r>
      <w:r w:rsidRPr="004E0612">
        <w:rPr>
          <w:rFonts w:ascii="Verdana" w:hAnsi="Verdana"/>
          <w:sz w:val="20"/>
          <w:szCs w:val="20"/>
          <w:lang w:val="en-US"/>
        </w:rPr>
        <w:t xml:space="preserve">competences. </w:t>
      </w:r>
    </w:p>
    <w:p w14:paraId="0B503769" w14:textId="77777777" w:rsidR="004E0612" w:rsidRPr="004E0612" w:rsidRDefault="004E0612" w:rsidP="004E0612">
      <w:pPr>
        <w:pStyle w:val="Kop2"/>
        <w:rPr>
          <w:lang w:val="en-US"/>
        </w:rPr>
      </w:pPr>
      <w:r w:rsidRPr="004E0612">
        <w:rPr>
          <w:lang w:val="en-US"/>
        </w:rPr>
        <w:t>EUNEC position</w:t>
      </w:r>
    </w:p>
    <w:p w14:paraId="1F6A6F6B" w14:textId="4DA93280" w:rsidR="004E0612" w:rsidRPr="004E0612" w:rsidRDefault="004E0612" w:rsidP="004E0612">
      <w:pPr>
        <w:spacing w:after="0"/>
        <w:jc w:val="both"/>
        <w:rPr>
          <w:rFonts w:ascii="Verdana" w:hAnsi="Verdana"/>
          <w:sz w:val="20"/>
          <w:szCs w:val="20"/>
          <w:lang w:val="en-US"/>
        </w:rPr>
      </w:pPr>
      <w:r w:rsidRPr="004E0612">
        <w:rPr>
          <w:rFonts w:ascii="Verdana" w:hAnsi="Verdana"/>
          <w:sz w:val="20"/>
          <w:szCs w:val="20"/>
          <w:lang w:val="en-US"/>
        </w:rPr>
        <w:t>EUNEC recognizes the added value of the European Framework for key competences</w:t>
      </w:r>
      <w:r w:rsidRPr="004E0612">
        <w:rPr>
          <w:rFonts w:ascii="Verdana" w:hAnsi="Verdana"/>
          <w:sz w:val="20"/>
          <w:szCs w:val="20"/>
          <w:vertAlign w:val="superscript"/>
        </w:rPr>
        <w:footnoteReference w:id="4"/>
      </w:r>
      <w:r w:rsidRPr="004E0612">
        <w:rPr>
          <w:rFonts w:ascii="Verdana" w:hAnsi="Verdana"/>
          <w:sz w:val="20"/>
          <w:szCs w:val="20"/>
          <w:lang w:val="en-US"/>
        </w:rPr>
        <w:t xml:space="preserve">. This framework has been innovative because of its focus on learning outcomes, its attention for diverse societal expectations and its </w:t>
      </w:r>
      <w:r w:rsidR="00896765">
        <w:rPr>
          <w:rFonts w:ascii="Verdana" w:hAnsi="Verdana"/>
          <w:sz w:val="20"/>
          <w:szCs w:val="20"/>
          <w:lang w:val="en-US"/>
        </w:rPr>
        <w:t>interdisciplinary</w:t>
      </w:r>
      <w:r w:rsidRPr="004E0612">
        <w:rPr>
          <w:rFonts w:ascii="Verdana" w:hAnsi="Verdana"/>
          <w:sz w:val="20"/>
          <w:szCs w:val="20"/>
          <w:lang w:val="en-US"/>
        </w:rPr>
        <w:t xml:space="preserve"> approach. The framework can also be a tool for communication between Member States and in Member States on the concept of</w:t>
      </w:r>
      <w:r w:rsidR="00896765">
        <w:rPr>
          <w:rFonts w:ascii="Verdana" w:hAnsi="Verdana"/>
          <w:sz w:val="20"/>
          <w:szCs w:val="20"/>
          <w:lang w:val="en-US"/>
        </w:rPr>
        <w:t xml:space="preserve"> general education (</w:t>
      </w:r>
      <w:r w:rsidRPr="004E0612">
        <w:rPr>
          <w:rFonts w:ascii="Verdana" w:hAnsi="Verdana"/>
          <w:sz w:val="20"/>
          <w:szCs w:val="20"/>
          <w:lang w:val="en-US"/>
        </w:rPr>
        <w:t>‘</w:t>
      </w:r>
      <w:proofErr w:type="spellStart"/>
      <w:r w:rsidRPr="004E0612">
        <w:rPr>
          <w:rFonts w:ascii="Verdana" w:hAnsi="Verdana"/>
          <w:sz w:val="20"/>
          <w:szCs w:val="20"/>
          <w:lang w:val="en-US"/>
        </w:rPr>
        <w:t>Bildung</w:t>
      </w:r>
      <w:proofErr w:type="spellEnd"/>
      <w:r w:rsidRPr="004E0612">
        <w:rPr>
          <w:rFonts w:ascii="Verdana" w:hAnsi="Verdana"/>
          <w:sz w:val="20"/>
          <w:szCs w:val="20"/>
          <w:lang w:val="en-US"/>
        </w:rPr>
        <w:t>’</w:t>
      </w:r>
      <w:r w:rsidR="00896765">
        <w:rPr>
          <w:rFonts w:ascii="Verdana" w:hAnsi="Verdana"/>
          <w:sz w:val="20"/>
          <w:szCs w:val="20"/>
          <w:lang w:val="en-US"/>
        </w:rPr>
        <w:t>)</w:t>
      </w:r>
      <w:r w:rsidRPr="004E0612">
        <w:rPr>
          <w:rFonts w:ascii="Verdana" w:hAnsi="Verdana"/>
          <w:sz w:val="20"/>
          <w:szCs w:val="20"/>
          <w:lang w:val="en-US"/>
        </w:rPr>
        <w:t xml:space="preserve"> and, by doing this, enhance mobility. </w:t>
      </w:r>
    </w:p>
    <w:p w14:paraId="51411F28" w14:textId="77777777" w:rsidR="004E0612" w:rsidRPr="004E0612" w:rsidRDefault="004E0612" w:rsidP="004E0612">
      <w:pPr>
        <w:spacing w:after="0"/>
        <w:jc w:val="both"/>
        <w:rPr>
          <w:rFonts w:ascii="Verdana" w:hAnsi="Verdana"/>
          <w:sz w:val="20"/>
          <w:szCs w:val="20"/>
          <w:lang w:val="en-US"/>
        </w:rPr>
      </w:pPr>
      <w:r w:rsidRPr="004E0612">
        <w:rPr>
          <w:rFonts w:ascii="Verdana" w:hAnsi="Verdana"/>
          <w:sz w:val="20"/>
          <w:szCs w:val="20"/>
          <w:lang w:val="en-US"/>
        </w:rPr>
        <w:t>Howev</w:t>
      </w:r>
      <w:r w:rsidR="00896765">
        <w:rPr>
          <w:rFonts w:ascii="Verdana" w:hAnsi="Verdana"/>
          <w:sz w:val="20"/>
          <w:szCs w:val="20"/>
          <w:lang w:val="en-US"/>
        </w:rPr>
        <w:t xml:space="preserve">er, there are also limitations; </w:t>
      </w:r>
      <w:r w:rsidRPr="004E0612">
        <w:rPr>
          <w:rFonts w:ascii="Verdana" w:hAnsi="Verdana"/>
          <w:sz w:val="20"/>
          <w:szCs w:val="20"/>
          <w:lang w:val="en-US"/>
        </w:rPr>
        <w:t>this framework cannot replace curriculum development and educational goals:</w:t>
      </w:r>
    </w:p>
    <w:p w14:paraId="4A551FB7" w14:textId="14DC44FF" w:rsidR="004E0612" w:rsidRPr="00896765" w:rsidRDefault="004E0612" w:rsidP="00896765">
      <w:pPr>
        <w:numPr>
          <w:ilvl w:val="0"/>
          <w:numId w:val="36"/>
        </w:numPr>
        <w:spacing w:after="0"/>
        <w:jc w:val="both"/>
        <w:rPr>
          <w:rFonts w:ascii="Verdana" w:hAnsi="Verdana"/>
          <w:sz w:val="20"/>
          <w:szCs w:val="20"/>
          <w:lang w:val="en-US"/>
        </w:rPr>
      </w:pPr>
      <w:r w:rsidRPr="00896765">
        <w:rPr>
          <w:rFonts w:ascii="Verdana" w:hAnsi="Verdana"/>
          <w:sz w:val="20"/>
          <w:szCs w:val="20"/>
          <w:lang w:val="en-US"/>
        </w:rPr>
        <w:t xml:space="preserve">EUNEC insists on the necessity of a </w:t>
      </w:r>
      <w:r w:rsidR="00580E0E">
        <w:rPr>
          <w:rFonts w:ascii="Verdana" w:hAnsi="Verdana"/>
          <w:sz w:val="20"/>
          <w:szCs w:val="20"/>
          <w:lang w:val="en-US"/>
        </w:rPr>
        <w:t xml:space="preserve">translation of European frameworks </w:t>
      </w:r>
      <w:r w:rsidRPr="00896765">
        <w:rPr>
          <w:rFonts w:ascii="Verdana" w:hAnsi="Verdana"/>
          <w:sz w:val="20"/>
          <w:szCs w:val="20"/>
          <w:lang w:val="en-US"/>
        </w:rPr>
        <w:t xml:space="preserve">into </w:t>
      </w:r>
      <w:r w:rsidR="00580E0E">
        <w:rPr>
          <w:rFonts w:ascii="Verdana" w:hAnsi="Verdana"/>
          <w:sz w:val="20"/>
          <w:szCs w:val="20"/>
          <w:lang w:val="en-US"/>
        </w:rPr>
        <w:t xml:space="preserve">national </w:t>
      </w:r>
      <w:r w:rsidRPr="00896765">
        <w:rPr>
          <w:rFonts w:ascii="Verdana" w:hAnsi="Verdana"/>
          <w:sz w:val="20"/>
          <w:szCs w:val="20"/>
          <w:lang w:val="en-US"/>
        </w:rPr>
        <w:t>educational goals</w:t>
      </w:r>
      <w:r w:rsidR="00580E0E">
        <w:rPr>
          <w:rFonts w:ascii="Verdana" w:hAnsi="Verdana"/>
          <w:sz w:val="20"/>
          <w:szCs w:val="20"/>
          <w:lang w:val="en-US"/>
        </w:rPr>
        <w:t xml:space="preserve"> that also take into account the national context, the different qualification strands within the national education and training systems and national common understanding</w:t>
      </w:r>
      <w:r w:rsidRPr="00896765">
        <w:rPr>
          <w:rFonts w:ascii="Verdana" w:hAnsi="Verdana"/>
          <w:sz w:val="20"/>
          <w:szCs w:val="20"/>
          <w:lang w:val="en-US"/>
        </w:rPr>
        <w:t>. These goals are described in relation to different developmental needs, learning trajectories, educational and professional contexts. Setting out the level of learning outcomes for e</w:t>
      </w:r>
      <w:r w:rsidR="00896765">
        <w:rPr>
          <w:rFonts w:ascii="Verdana" w:hAnsi="Verdana"/>
          <w:sz w:val="20"/>
          <w:szCs w:val="20"/>
          <w:lang w:val="en-US"/>
        </w:rPr>
        <w:t>a</w:t>
      </w:r>
      <w:r w:rsidRPr="00896765">
        <w:rPr>
          <w:rFonts w:ascii="Verdana" w:hAnsi="Verdana"/>
          <w:sz w:val="20"/>
          <w:szCs w:val="20"/>
          <w:lang w:val="en-US"/>
        </w:rPr>
        <w:t>ch level of a specific competence at a European level, even when aiming at enhanced mobility</w:t>
      </w:r>
      <w:r w:rsidR="00896765">
        <w:rPr>
          <w:rFonts w:ascii="Verdana" w:hAnsi="Verdana"/>
          <w:sz w:val="20"/>
          <w:szCs w:val="20"/>
          <w:lang w:val="en-US"/>
        </w:rPr>
        <w:t>, does not offer an added value</w:t>
      </w:r>
      <w:r w:rsidRPr="00896765">
        <w:rPr>
          <w:rFonts w:ascii="Verdana" w:hAnsi="Verdana"/>
          <w:sz w:val="20"/>
          <w:szCs w:val="20"/>
          <w:lang w:val="en-US"/>
        </w:rPr>
        <w:t>.</w:t>
      </w:r>
      <w:r w:rsidR="00F715B7">
        <w:rPr>
          <w:rFonts w:ascii="Verdana" w:hAnsi="Verdana"/>
          <w:sz w:val="20"/>
          <w:szCs w:val="20"/>
          <w:lang w:val="en-US"/>
        </w:rPr>
        <w:t xml:space="preserve">  It is also not clear why and </w:t>
      </w:r>
      <w:r w:rsidR="005A1C6B">
        <w:rPr>
          <w:rFonts w:ascii="Verdana" w:hAnsi="Verdana"/>
          <w:sz w:val="20"/>
          <w:szCs w:val="20"/>
          <w:lang w:val="en-US"/>
        </w:rPr>
        <w:t>to what extent</w:t>
      </w:r>
      <w:r w:rsidR="00F715B7">
        <w:rPr>
          <w:rFonts w:ascii="Verdana" w:hAnsi="Verdana"/>
          <w:sz w:val="20"/>
          <w:szCs w:val="20"/>
          <w:lang w:val="en-US"/>
        </w:rPr>
        <w:t xml:space="preserve"> the levels of competence described in the EQF are not sufficient for this purpose.  </w:t>
      </w:r>
    </w:p>
    <w:p w14:paraId="3EAE95AF" w14:textId="0CF26A37" w:rsidR="004E0612" w:rsidRPr="00896765" w:rsidRDefault="004E0612" w:rsidP="00896765">
      <w:pPr>
        <w:numPr>
          <w:ilvl w:val="0"/>
          <w:numId w:val="36"/>
        </w:numPr>
        <w:spacing w:after="0"/>
        <w:jc w:val="both"/>
        <w:rPr>
          <w:rFonts w:ascii="Verdana" w:hAnsi="Verdana"/>
          <w:sz w:val="20"/>
          <w:szCs w:val="20"/>
          <w:lang w:val="en-US"/>
        </w:rPr>
      </w:pPr>
      <w:r w:rsidRPr="00896765">
        <w:rPr>
          <w:rFonts w:ascii="Verdana" w:hAnsi="Verdana"/>
          <w:sz w:val="20"/>
          <w:szCs w:val="20"/>
          <w:lang w:val="en-US"/>
        </w:rPr>
        <w:t>From a conceptual and methodological point of view, it is extremely difficult to de</w:t>
      </w:r>
      <w:r w:rsidR="00F715B7">
        <w:rPr>
          <w:rFonts w:ascii="Verdana" w:hAnsi="Verdana"/>
          <w:sz w:val="20"/>
          <w:szCs w:val="20"/>
          <w:lang w:val="en-US"/>
        </w:rPr>
        <w:t xml:space="preserve">fine mastery levels within the learning outcomes of </w:t>
      </w:r>
      <w:r w:rsidRPr="00896765">
        <w:rPr>
          <w:rFonts w:ascii="Verdana" w:hAnsi="Verdana"/>
          <w:sz w:val="20"/>
          <w:szCs w:val="20"/>
          <w:lang w:val="en-US"/>
        </w:rPr>
        <w:t xml:space="preserve">transversal competences such as ‘learning to learn’ and ‘civic competences’. The operationalization of ‘civic competences’, for instance, can never be politically/ideologically neutral. </w:t>
      </w:r>
      <w:r w:rsidR="002A23AE">
        <w:rPr>
          <w:rFonts w:ascii="Verdana" w:hAnsi="Verdana"/>
          <w:sz w:val="20"/>
          <w:szCs w:val="20"/>
          <w:lang w:val="en-US"/>
        </w:rPr>
        <w:t xml:space="preserve">Is it </w:t>
      </w:r>
      <w:r w:rsidR="002A23AE">
        <w:rPr>
          <w:rFonts w:ascii="Verdana" w:hAnsi="Verdana"/>
          <w:sz w:val="20"/>
          <w:szCs w:val="20"/>
          <w:lang w:val="en-US"/>
        </w:rPr>
        <w:lastRenderedPageBreak/>
        <w:t>possible to</w:t>
      </w:r>
      <w:r w:rsidR="00F715B7">
        <w:rPr>
          <w:rFonts w:ascii="Verdana" w:hAnsi="Verdana"/>
          <w:sz w:val="20"/>
          <w:szCs w:val="20"/>
          <w:lang w:val="en-US"/>
        </w:rPr>
        <w:t xml:space="preserve"> discriminate betwee</w:t>
      </w:r>
      <w:r w:rsidR="005A1C6B">
        <w:rPr>
          <w:rFonts w:ascii="Verdana" w:hAnsi="Verdana"/>
          <w:sz w:val="20"/>
          <w:szCs w:val="20"/>
          <w:lang w:val="en-US"/>
        </w:rPr>
        <w:t>n</w:t>
      </w:r>
      <w:r w:rsidR="00F715B7">
        <w:rPr>
          <w:rFonts w:ascii="Verdana" w:hAnsi="Verdana"/>
          <w:sz w:val="20"/>
          <w:szCs w:val="20"/>
          <w:lang w:val="en-US"/>
        </w:rPr>
        <w:t xml:space="preserve"> mastery levels that are relevant for the competence field as such, for all key competences ? </w:t>
      </w:r>
    </w:p>
    <w:p w14:paraId="4AB12B1F" w14:textId="452E7B6F" w:rsidR="004E0612" w:rsidRPr="00896765" w:rsidRDefault="004E0612" w:rsidP="00896765">
      <w:pPr>
        <w:numPr>
          <w:ilvl w:val="0"/>
          <w:numId w:val="36"/>
        </w:numPr>
        <w:spacing w:after="0"/>
        <w:jc w:val="both"/>
        <w:rPr>
          <w:rFonts w:ascii="Verdana" w:hAnsi="Verdana"/>
          <w:sz w:val="20"/>
          <w:szCs w:val="20"/>
          <w:lang w:val="en-US"/>
        </w:rPr>
      </w:pPr>
      <w:r w:rsidRPr="00896765">
        <w:rPr>
          <w:rFonts w:ascii="Verdana" w:hAnsi="Verdana"/>
          <w:sz w:val="20"/>
          <w:szCs w:val="20"/>
          <w:lang w:val="en-US"/>
        </w:rPr>
        <w:t xml:space="preserve">Important dimensions, such as arts and </w:t>
      </w:r>
      <w:r w:rsidR="00C22A9E">
        <w:rPr>
          <w:rFonts w:ascii="Verdana" w:hAnsi="Verdana"/>
          <w:sz w:val="20"/>
          <w:szCs w:val="20"/>
          <w:lang w:val="en-US"/>
        </w:rPr>
        <w:t xml:space="preserve">the </w:t>
      </w:r>
      <w:r w:rsidR="005A1C6B">
        <w:rPr>
          <w:rFonts w:ascii="Verdana" w:hAnsi="Verdana"/>
          <w:sz w:val="20"/>
          <w:szCs w:val="20"/>
          <w:lang w:val="en-US"/>
        </w:rPr>
        <w:t>esthetics, history, the spiritual dimension</w:t>
      </w:r>
      <w:r w:rsidRPr="00896765">
        <w:rPr>
          <w:rFonts w:ascii="Verdana" w:hAnsi="Verdana"/>
          <w:sz w:val="20"/>
          <w:szCs w:val="20"/>
          <w:lang w:val="en-US"/>
        </w:rPr>
        <w:t xml:space="preserve"> are not present in the European framework.</w:t>
      </w:r>
    </w:p>
    <w:p w14:paraId="09D02838" w14:textId="3F6D70B7" w:rsidR="004E0612" w:rsidRPr="00896765" w:rsidRDefault="004E0612" w:rsidP="00896765">
      <w:pPr>
        <w:numPr>
          <w:ilvl w:val="0"/>
          <w:numId w:val="36"/>
        </w:numPr>
        <w:spacing w:after="0"/>
        <w:jc w:val="both"/>
        <w:rPr>
          <w:rFonts w:ascii="Verdana" w:hAnsi="Verdana"/>
          <w:sz w:val="20"/>
          <w:szCs w:val="20"/>
          <w:lang w:val="en-US"/>
        </w:rPr>
      </w:pPr>
      <w:r w:rsidRPr="00896765">
        <w:rPr>
          <w:rFonts w:ascii="Verdana" w:hAnsi="Verdana"/>
          <w:sz w:val="20"/>
          <w:szCs w:val="20"/>
          <w:lang w:val="en-US"/>
        </w:rPr>
        <w:t xml:space="preserve">EUNEC states that an operationalization of European key competences cannot replace a societal debate on </w:t>
      </w:r>
      <w:r w:rsidR="00F715B7">
        <w:rPr>
          <w:rFonts w:ascii="Verdana" w:hAnsi="Verdana"/>
          <w:sz w:val="20"/>
          <w:szCs w:val="20"/>
          <w:lang w:val="en-US"/>
        </w:rPr>
        <w:t xml:space="preserve">curriculum development </w:t>
      </w:r>
      <w:r w:rsidRPr="00896765">
        <w:rPr>
          <w:rFonts w:ascii="Verdana" w:hAnsi="Verdana"/>
          <w:sz w:val="20"/>
          <w:szCs w:val="20"/>
          <w:lang w:val="en-US"/>
        </w:rPr>
        <w:t xml:space="preserve">in the different Member States. </w:t>
      </w:r>
    </w:p>
    <w:p w14:paraId="11A3ABA9" w14:textId="77777777" w:rsidR="004E0612" w:rsidRPr="004E0612" w:rsidRDefault="004E0612" w:rsidP="004E0612">
      <w:pPr>
        <w:pStyle w:val="Kop1"/>
        <w:rPr>
          <w:lang w:val="en-US"/>
        </w:rPr>
      </w:pPr>
      <w:r w:rsidRPr="004E0612">
        <w:rPr>
          <w:lang w:val="en-US"/>
        </w:rPr>
        <w:t xml:space="preserve">Further strengthening links between education/training, mobility and the </w:t>
      </w:r>
      <w:proofErr w:type="spellStart"/>
      <w:r w:rsidRPr="004E0612">
        <w:rPr>
          <w:lang w:val="en-US"/>
        </w:rPr>
        <w:t>labour</w:t>
      </w:r>
      <w:proofErr w:type="spellEnd"/>
      <w:r w:rsidRPr="004E0612">
        <w:rPr>
          <w:lang w:val="en-US"/>
        </w:rPr>
        <w:t xml:space="preserve"> market.</w:t>
      </w:r>
    </w:p>
    <w:p w14:paraId="4EFD3887" w14:textId="77777777" w:rsidR="004E0612" w:rsidRPr="004E0612" w:rsidRDefault="004E0612" w:rsidP="004E0612">
      <w:pPr>
        <w:pStyle w:val="Kop2"/>
        <w:rPr>
          <w:lang w:val="en-US"/>
        </w:rPr>
      </w:pPr>
      <w:r w:rsidRPr="004E0612">
        <w:rPr>
          <w:lang w:val="en-US"/>
        </w:rPr>
        <w:t>Proposal</w:t>
      </w:r>
    </w:p>
    <w:p w14:paraId="636E6D7B" w14:textId="77777777" w:rsidR="004E0612" w:rsidRPr="004E0612" w:rsidRDefault="004E0612" w:rsidP="004E0612">
      <w:pPr>
        <w:spacing w:after="0"/>
        <w:jc w:val="both"/>
        <w:rPr>
          <w:rFonts w:ascii="Verdana" w:hAnsi="Verdana"/>
          <w:sz w:val="20"/>
          <w:szCs w:val="20"/>
          <w:lang w:val="en-US"/>
        </w:rPr>
      </w:pPr>
      <w:r w:rsidRPr="004E0612">
        <w:rPr>
          <w:rFonts w:ascii="Verdana" w:hAnsi="Verdana"/>
          <w:sz w:val="20"/>
          <w:szCs w:val="20"/>
          <w:lang w:val="en-US"/>
        </w:rPr>
        <w:t xml:space="preserve">Exchange of information between the world of education and training and the </w:t>
      </w:r>
      <w:proofErr w:type="spellStart"/>
      <w:r w:rsidRPr="004E0612">
        <w:rPr>
          <w:rFonts w:ascii="Verdana" w:hAnsi="Verdana"/>
          <w:sz w:val="20"/>
          <w:szCs w:val="20"/>
          <w:lang w:val="en-US"/>
        </w:rPr>
        <w:t>labour</w:t>
      </w:r>
      <w:proofErr w:type="spellEnd"/>
      <w:r w:rsidRPr="004E0612">
        <w:rPr>
          <w:rFonts w:ascii="Verdana" w:hAnsi="Verdana"/>
          <w:sz w:val="20"/>
          <w:szCs w:val="20"/>
          <w:lang w:val="en-US"/>
        </w:rPr>
        <w:t xml:space="preserve"> market requires a common language (on skills, knowledge and competences), a clear strategy on how to use information on skills supply and needs for near and mediu</w:t>
      </w:r>
      <w:r w:rsidR="00C22A9E">
        <w:rPr>
          <w:rFonts w:ascii="Verdana" w:hAnsi="Verdana"/>
          <w:sz w:val="20"/>
          <w:szCs w:val="20"/>
          <w:lang w:val="en-US"/>
        </w:rPr>
        <w:t>m</w:t>
      </w:r>
      <w:r w:rsidRPr="004E0612">
        <w:rPr>
          <w:rFonts w:ascii="Verdana" w:hAnsi="Verdana"/>
          <w:sz w:val="20"/>
          <w:szCs w:val="20"/>
          <w:lang w:val="en-US"/>
        </w:rPr>
        <w:t>-term future and a forum for exchange.  Several tools with different stages of development address this challenge, but are not fully implemented.</w:t>
      </w:r>
    </w:p>
    <w:p w14:paraId="1E6AEABE" w14:textId="77777777" w:rsidR="004E0612" w:rsidRPr="004E0612" w:rsidRDefault="004E0612" w:rsidP="004E0612">
      <w:pPr>
        <w:spacing w:after="0"/>
        <w:jc w:val="both"/>
        <w:rPr>
          <w:rFonts w:ascii="Verdana" w:hAnsi="Verdana"/>
          <w:sz w:val="20"/>
          <w:szCs w:val="20"/>
          <w:lang w:val="en-US"/>
        </w:rPr>
      </w:pPr>
      <w:r w:rsidRPr="004E0612">
        <w:rPr>
          <w:rFonts w:ascii="Verdana" w:hAnsi="Verdana"/>
          <w:sz w:val="20"/>
          <w:szCs w:val="20"/>
          <w:lang w:val="en-US"/>
        </w:rPr>
        <w:t xml:space="preserve">The recently revised </w:t>
      </w:r>
      <w:r w:rsidR="00C22A9E">
        <w:rPr>
          <w:rFonts w:ascii="Verdana" w:hAnsi="Verdana"/>
          <w:sz w:val="20"/>
          <w:szCs w:val="20"/>
          <w:lang w:val="en-US"/>
        </w:rPr>
        <w:t>‘</w:t>
      </w:r>
      <w:r w:rsidRPr="004E0612">
        <w:rPr>
          <w:rFonts w:ascii="Verdana" w:hAnsi="Verdana"/>
          <w:sz w:val="20"/>
          <w:szCs w:val="20"/>
          <w:lang w:val="en-US"/>
        </w:rPr>
        <w:t>Directive on professional qualifications</w:t>
      </w:r>
      <w:r w:rsidR="00C22A9E">
        <w:rPr>
          <w:rFonts w:ascii="Verdana" w:hAnsi="Verdana"/>
          <w:sz w:val="20"/>
          <w:szCs w:val="20"/>
          <w:lang w:val="en-US"/>
        </w:rPr>
        <w:t>’</w:t>
      </w:r>
      <w:r w:rsidRPr="004E0612">
        <w:rPr>
          <w:rFonts w:ascii="Verdana" w:hAnsi="Verdana"/>
          <w:sz w:val="20"/>
          <w:szCs w:val="20"/>
          <w:vertAlign w:val="superscript"/>
        </w:rPr>
        <w:footnoteReference w:id="5"/>
      </w:r>
      <w:r w:rsidRPr="004E0612">
        <w:rPr>
          <w:rFonts w:ascii="Verdana" w:hAnsi="Verdana"/>
          <w:sz w:val="20"/>
          <w:szCs w:val="20"/>
          <w:lang w:val="en-US"/>
        </w:rPr>
        <w:t xml:space="preserve"> insures smooth recognition of qualifications in regulated professions. This Directive has introduced a ‘European Professional Card’.  Next to this initiative, several </w:t>
      </w:r>
      <w:proofErr w:type="spellStart"/>
      <w:r w:rsidRPr="004E0612">
        <w:rPr>
          <w:rFonts w:ascii="Verdana" w:hAnsi="Verdana"/>
          <w:sz w:val="20"/>
          <w:szCs w:val="20"/>
          <w:lang w:val="en-US"/>
        </w:rPr>
        <w:t>sectoral</w:t>
      </w:r>
      <w:proofErr w:type="spellEnd"/>
      <w:r w:rsidRPr="004E0612">
        <w:rPr>
          <w:rFonts w:ascii="Verdana" w:hAnsi="Verdana"/>
          <w:sz w:val="20"/>
          <w:szCs w:val="20"/>
          <w:lang w:val="en-US"/>
        </w:rPr>
        <w:t xml:space="preserve"> skills and qualifications passports have developed. These passports are not coordinated with each other and w</w:t>
      </w:r>
      <w:r w:rsidR="00C22A9E">
        <w:rPr>
          <w:rFonts w:ascii="Verdana" w:hAnsi="Verdana"/>
          <w:sz w:val="20"/>
          <w:szCs w:val="20"/>
          <w:lang w:val="en-US"/>
        </w:rPr>
        <w:t>i</w:t>
      </w:r>
      <w:r w:rsidRPr="004E0612">
        <w:rPr>
          <w:rFonts w:ascii="Verdana" w:hAnsi="Verdana"/>
          <w:sz w:val="20"/>
          <w:szCs w:val="20"/>
          <w:lang w:val="en-US"/>
        </w:rPr>
        <w:t>t</w:t>
      </w:r>
      <w:r w:rsidR="00C22A9E">
        <w:rPr>
          <w:rFonts w:ascii="Verdana" w:hAnsi="Verdana"/>
          <w:sz w:val="20"/>
          <w:szCs w:val="20"/>
          <w:lang w:val="en-US"/>
        </w:rPr>
        <w:t xml:space="preserve">h </w:t>
      </w:r>
      <w:r w:rsidRPr="004E0612">
        <w:rPr>
          <w:rFonts w:ascii="Verdana" w:hAnsi="Verdana"/>
          <w:sz w:val="20"/>
          <w:szCs w:val="20"/>
          <w:lang w:val="en-US"/>
        </w:rPr>
        <w:t>other existing transparen</w:t>
      </w:r>
      <w:r w:rsidR="00C22A9E">
        <w:rPr>
          <w:rFonts w:ascii="Verdana" w:hAnsi="Verdana"/>
          <w:sz w:val="20"/>
          <w:szCs w:val="20"/>
          <w:lang w:val="en-US"/>
        </w:rPr>
        <w:t>c</w:t>
      </w:r>
      <w:r w:rsidRPr="004E0612">
        <w:rPr>
          <w:rFonts w:ascii="Verdana" w:hAnsi="Verdana"/>
          <w:sz w:val="20"/>
          <w:szCs w:val="20"/>
          <w:lang w:val="en-US"/>
        </w:rPr>
        <w:t xml:space="preserve">y tools. </w:t>
      </w:r>
    </w:p>
    <w:p w14:paraId="06BC3373" w14:textId="77777777" w:rsidR="004E0612" w:rsidRPr="004E0612" w:rsidRDefault="004E0612" w:rsidP="004E0612">
      <w:pPr>
        <w:pStyle w:val="Kop2"/>
        <w:rPr>
          <w:lang w:val="en-US"/>
        </w:rPr>
      </w:pPr>
      <w:r w:rsidRPr="004E0612">
        <w:rPr>
          <w:lang w:val="en-US"/>
        </w:rPr>
        <w:t>EUNEC position</w:t>
      </w:r>
    </w:p>
    <w:p w14:paraId="7D0E6DA2" w14:textId="6489F352" w:rsidR="004E0612" w:rsidRPr="004E0612" w:rsidRDefault="00C22A9E" w:rsidP="004E0612">
      <w:pPr>
        <w:spacing w:after="0"/>
        <w:jc w:val="both"/>
        <w:rPr>
          <w:rFonts w:ascii="Verdana" w:hAnsi="Verdana"/>
          <w:sz w:val="20"/>
          <w:szCs w:val="20"/>
          <w:lang w:val="en-US"/>
        </w:rPr>
      </w:pPr>
      <w:r>
        <w:rPr>
          <w:rFonts w:ascii="Verdana" w:hAnsi="Verdana"/>
          <w:sz w:val="20"/>
          <w:szCs w:val="20"/>
          <w:lang w:val="en-US"/>
        </w:rPr>
        <w:t xml:space="preserve">There is a proliferation </w:t>
      </w:r>
      <w:r w:rsidR="004E0612" w:rsidRPr="004E0612">
        <w:rPr>
          <w:rFonts w:ascii="Verdana" w:hAnsi="Verdana"/>
          <w:sz w:val="20"/>
          <w:szCs w:val="20"/>
          <w:lang w:val="en-US"/>
        </w:rPr>
        <w:t xml:space="preserve">of tools to share information on qualifications. It is necessary to streamline the initiatives, especially when the tools are used for guidance of individual learners. </w:t>
      </w:r>
    </w:p>
    <w:p w14:paraId="2D90DC29" w14:textId="5E686A4A" w:rsidR="00C22A9E" w:rsidRDefault="004E0612" w:rsidP="004E0612">
      <w:pPr>
        <w:spacing w:after="0"/>
        <w:jc w:val="both"/>
        <w:rPr>
          <w:rFonts w:ascii="Verdana" w:hAnsi="Verdana"/>
          <w:sz w:val="20"/>
          <w:szCs w:val="20"/>
          <w:lang w:val="en-US"/>
        </w:rPr>
      </w:pPr>
      <w:r w:rsidRPr="004E0612">
        <w:rPr>
          <w:rFonts w:ascii="Verdana" w:hAnsi="Verdana"/>
          <w:sz w:val="20"/>
          <w:szCs w:val="20"/>
          <w:lang w:val="en-US"/>
        </w:rPr>
        <w:t xml:space="preserve">Tools that have been developed through the </w:t>
      </w:r>
      <w:proofErr w:type="spellStart"/>
      <w:r w:rsidRPr="004E0612">
        <w:rPr>
          <w:rFonts w:ascii="Verdana" w:hAnsi="Verdana"/>
          <w:sz w:val="20"/>
          <w:szCs w:val="20"/>
          <w:lang w:val="en-US"/>
        </w:rPr>
        <w:t>sectoral</w:t>
      </w:r>
      <w:proofErr w:type="spellEnd"/>
      <w:r w:rsidRPr="004E0612">
        <w:rPr>
          <w:rFonts w:ascii="Verdana" w:hAnsi="Verdana"/>
          <w:sz w:val="20"/>
          <w:szCs w:val="20"/>
          <w:lang w:val="en-US"/>
        </w:rPr>
        <w:t xml:space="preserve"> social dialogue don’t have to be a priority for harmonization; they can perfectly play their role parallel to the European tools. It can be useful </w:t>
      </w:r>
      <w:r w:rsidR="0095709A">
        <w:rPr>
          <w:rFonts w:ascii="Verdana" w:hAnsi="Verdana"/>
          <w:sz w:val="20"/>
          <w:szCs w:val="20"/>
          <w:lang w:val="en-US"/>
        </w:rPr>
        <w:t xml:space="preserve">to </w:t>
      </w:r>
      <w:r w:rsidR="00C22A9E">
        <w:rPr>
          <w:rFonts w:ascii="Verdana" w:hAnsi="Verdana"/>
          <w:sz w:val="20"/>
          <w:szCs w:val="20"/>
          <w:lang w:val="en-US"/>
        </w:rPr>
        <w:t>establish links with</w:t>
      </w:r>
      <w:r w:rsidRPr="004E0612">
        <w:rPr>
          <w:rFonts w:ascii="Verdana" w:hAnsi="Verdana"/>
          <w:sz w:val="20"/>
          <w:szCs w:val="20"/>
          <w:lang w:val="en-US"/>
        </w:rPr>
        <w:t xml:space="preserve"> the European tools in order to improve communication between sectors and be</w:t>
      </w:r>
      <w:r w:rsidR="00C22A9E">
        <w:rPr>
          <w:rFonts w:ascii="Verdana" w:hAnsi="Verdana"/>
          <w:sz w:val="20"/>
          <w:szCs w:val="20"/>
          <w:lang w:val="en-US"/>
        </w:rPr>
        <w:t xml:space="preserve">tween Member States. Coordination of initiatives taken by different </w:t>
      </w:r>
      <w:r w:rsidRPr="004E0612">
        <w:rPr>
          <w:rFonts w:ascii="Verdana" w:hAnsi="Verdana"/>
          <w:sz w:val="20"/>
          <w:szCs w:val="20"/>
          <w:lang w:val="en-US"/>
        </w:rPr>
        <w:t xml:space="preserve"> </w:t>
      </w:r>
      <w:r w:rsidR="009A64F1">
        <w:rPr>
          <w:rFonts w:ascii="Verdana" w:hAnsi="Verdana"/>
          <w:sz w:val="20"/>
          <w:szCs w:val="20"/>
          <w:lang w:val="en-US"/>
        </w:rPr>
        <w:t>DG’s of the European Commission</w:t>
      </w:r>
      <w:r w:rsidRPr="004E0612">
        <w:rPr>
          <w:rFonts w:ascii="Verdana" w:hAnsi="Verdana"/>
          <w:sz w:val="20"/>
          <w:szCs w:val="20"/>
          <w:lang w:val="en-US"/>
        </w:rPr>
        <w:t xml:space="preserve"> </w:t>
      </w:r>
      <w:r w:rsidR="00C22A9E">
        <w:rPr>
          <w:rFonts w:ascii="Verdana" w:hAnsi="Verdana"/>
          <w:sz w:val="20"/>
          <w:szCs w:val="20"/>
          <w:lang w:val="en-US"/>
        </w:rPr>
        <w:t xml:space="preserve">is necessary. </w:t>
      </w:r>
    </w:p>
    <w:p w14:paraId="295AD18F" w14:textId="77777777" w:rsidR="00C22A9E" w:rsidRDefault="00C22A9E" w:rsidP="00C22A9E">
      <w:pPr>
        <w:pStyle w:val="Kop1"/>
        <w:rPr>
          <w:lang w:val="en-US"/>
        </w:rPr>
      </w:pPr>
      <w:r>
        <w:rPr>
          <w:lang w:val="en-US"/>
        </w:rPr>
        <w:t>Adapting to internationalization trends</w:t>
      </w:r>
    </w:p>
    <w:p w14:paraId="1C262B6D" w14:textId="77777777" w:rsidR="00C22A9E" w:rsidRDefault="00C22A9E" w:rsidP="00C22A9E">
      <w:pPr>
        <w:pStyle w:val="Kop2"/>
        <w:rPr>
          <w:lang w:val="en-US"/>
        </w:rPr>
      </w:pPr>
      <w:r w:rsidRPr="00C22A9E">
        <w:rPr>
          <w:lang w:val="en-US"/>
        </w:rPr>
        <w:t>Proposal</w:t>
      </w:r>
    </w:p>
    <w:p w14:paraId="7F5CAB38" w14:textId="77777777" w:rsidR="00C22A9E" w:rsidRDefault="00C22A9E" w:rsidP="00C22A9E">
      <w:pPr>
        <w:spacing w:after="0"/>
        <w:jc w:val="both"/>
        <w:rPr>
          <w:rFonts w:ascii="Verdana" w:hAnsi="Verdana"/>
          <w:sz w:val="20"/>
          <w:szCs w:val="20"/>
          <w:lang w:val="en-US"/>
        </w:rPr>
      </w:pPr>
      <w:r w:rsidRPr="00C22A9E">
        <w:rPr>
          <w:rFonts w:ascii="Verdana" w:hAnsi="Verdana"/>
          <w:sz w:val="20"/>
          <w:szCs w:val="20"/>
          <w:lang w:val="en-US"/>
        </w:rPr>
        <w:t>Student mobility has st</w:t>
      </w:r>
      <w:r>
        <w:rPr>
          <w:rFonts w:ascii="Verdana" w:hAnsi="Verdana"/>
          <w:sz w:val="20"/>
          <w:szCs w:val="20"/>
          <w:lang w:val="en-US"/>
        </w:rPr>
        <w:t>rongly increased. This phenomenon is especially visible in higher education. Recognition of types and levels of qualifications obtained outside Europe has become an important issue. There are possibilities to align the EU tools better with the transparency tools of third countries, such as ECTS and EQF outside of the EU.</w:t>
      </w:r>
    </w:p>
    <w:p w14:paraId="21216D25" w14:textId="77777777" w:rsidR="00C338F4" w:rsidRDefault="00C338F4" w:rsidP="00C22A9E">
      <w:pPr>
        <w:spacing w:after="0"/>
        <w:jc w:val="both"/>
        <w:rPr>
          <w:rFonts w:ascii="Verdana" w:hAnsi="Verdana"/>
          <w:sz w:val="20"/>
          <w:szCs w:val="20"/>
          <w:lang w:val="en-US"/>
        </w:rPr>
      </w:pPr>
      <w:r>
        <w:rPr>
          <w:rFonts w:ascii="Verdana" w:hAnsi="Verdana"/>
          <w:sz w:val="20"/>
          <w:szCs w:val="20"/>
          <w:lang w:val="en-US"/>
        </w:rPr>
        <w:t>The international dimension in Vocational Education and Training is a more complex issue, given the diversity of VET systems outside Europe</w:t>
      </w:r>
      <w:r w:rsidR="00C06381">
        <w:rPr>
          <w:rFonts w:ascii="Verdana" w:hAnsi="Verdana"/>
          <w:sz w:val="20"/>
          <w:szCs w:val="20"/>
          <w:lang w:val="en-US"/>
        </w:rPr>
        <w:t>. At the same time,</w:t>
      </w:r>
      <w:r>
        <w:rPr>
          <w:rFonts w:ascii="Verdana" w:hAnsi="Verdana"/>
          <w:sz w:val="20"/>
          <w:szCs w:val="20"/>
          <w:lang w:val="en-US"/>
        </w:rPr>
        <w:t xml:space="preserve"> the number </w:t>
      </w:r>
      <w:r>
        <w:rPr>
          <w:rFonts w:ascii="Verdana" w:hAnsi="Verdana"/>
          <w:sz w:val="20"/>
          <w:szCs w:val="20"/>
          <w:lang w:val="en-US"/>
        </w:rPr>
        <w:lastRenderedPageBreak/>
        <w:t xml:space="preserve">of non-EU nationals with VET qualifications coming to Europe to work is increasing. </w:t>
      </w:r>
      <w:r w:rsidR="00C06381">
        <w:rPr>
          <w:rFonts w:ascii="Verdana" w:hAnsi="Verdana"/>
          <w:sz w:val="20"/>
          <w:szCs w:val="20"/>
          <w:lang w:val="en-US"/>
        </w:rPr>
        <w:t xml:space="preserve">Moreover, there is a growing impact of informal and non-formal learning. </w:t>
      </w:r>
    </w:p>
    <w:p w14:paraId="1A64EA34" w14:textId="77777777" w:rsidR="00C06381" w:rsidRDefault="00C06381" w:rsidP="00C22A9E">
      <w:pPr>
        <w:spacing w:after="0"/>
        <w:jc w:val="both"/>
        <w:rPr>
          <w:rFonts w:ascii="Verdana" w:hAnsi="Verdana"/>
          <w:sz w:val="20"/>
          <w:szCs w:val="20"/>
          <w:lang w:val="en-US"/>
        </w:rPr>
      </w:pPr>
      <w:r>
        <w:rPr>
          <w:rFonts w:ascii="Verdana" w:hAnsi="Verdana"/>
          <w:sz w:val="20"/>
          <w:szCs w:val="20"/>
          <w:lang w:val="en-US"/>
        </w:rPr>
        <w:t>The Commission looks for possibilities to make better use of the European tools such as EQF and credit systems, facilitating the recognition of qualifications between Europe and third countries.</w:t>
      </w:r>
    </w:p>
    <w:p w14:paraId="2C79847D" w14:textId="77777777" w:rsidR="00C06381" w:rsidRDefault="00C06381" w:rsidP="00C06381">
      <w:pPr>
        <w:pStyle w:val="Kop2"/>
        <w:rPr>
          <w:lang w:val="en-US"/>
        </w:rPr>
      </w:pPr>
      <w:r>
        <w:rPr>
          <w:lang w:val="en-US"/>
        </w:rPr>
        <w:t>EUNEC position</w:t>
      </w:r>
    </w:p>
    <w:p w14:paraId="4CDC80B5" w14:textId="5679A85A" w:rsidR="00C06381" w:rsidRDefault="00C06381" w:rsidP="00C22A9E">
      <w:pPr>
        <w:spacing w:after="0"/>
        <w:jc w:val="both"/>
        <w:rPr>
          <w:rFonts w:ascii="Verdana" w:hAnsi="Verdana"/>
          <w:sz w:val="20"/>
          <w:szCs w:val="20"/>
          <w:lang w:val="en-US"/>
        </w:rPr>
      </w:pPr>
      <w:r>
        <w:rPr>
          <w:rFonts w:ascii="Verdana" w:hAnsi="Verdana"/>
          <w:sz w:val="20"/>
          <w:szCs w:val="20"/>
          <w:lang w:val="en-US"/>
        </w:rPr>
        <w:t xml:space="preserve">EUNEC states that cooperation with third countries is important in two directions: for the recognition of skills and qualifications of EU citizens, and for the recognition of skills and qualifications of non EU citizens in the EU. It is </w:t>
      </w:r>
      <w:r w:rsidR="00062EB2">
        <w:rPr>
          <w:rFonts w:ascii="Verdana" w:hAnsi="Verdana"/>
          <w:sz w:val="20"/>
          <w:szCs w:val="20"/>
          <w:lang w:val="en-US"/>
        </w:rPr>
        <w:t xml:space="preserve">however </w:t>
      </w:r>
      <w:r>
        <w:rPr>
          <w:rFonts w:ascii="Verdana" w:hAnsi="Verdana"/>
          <w:sz w:val="20"/>
          <w:szCs w:val="20"/>
          <w:lang w:val="en-US"/>
        </w:rPr>
        <w:t xml:space="preserve">a priority to keep the communication lines within the European Commission very transparent. </w:t>
      </w:r>
    </w:p>
    <w:p w14:paraId="0BB56897" w14:textId="77777777" w:rsidR="00C06381" w:rsidRDefault="00C06381" w:rsidP="00C06381">
      <w:pPr>
        <w:pStyle w:val="Kop1"/>
        <w:rPr>
          <w:lang w:val="en-US"/>
        </w:rPr>
      </w:pPr>
      <w:r>
        <w:rPr>
          <w:lang w:val="en-US"/>
        </w:rPr>
        <w:t>Ensuring overall coherence of tools and policies and further implementing the learning outcomes approach</w:t>
      </w:r>
    </w:p>
    <w:p w14:paraId="497A32BC" w14:textId="77777777" w:rsidR="00C06381" w:rsidRDefault="00C06381" w:rsidP="00C06381">
      <w:pPr>
        <w:pStyle w:val="Kop2"/>
        <w:rPr>
          <w:lang w:val="en-US"/>
        </w:rPr>
      </w:pPr>
      <w:r>
        <w:rPr>
          <w:lang w:val="en-US"/>
        </w:rPr>
        <w:t>Proposal</w:t>
      </w:r>
    </w:p>
    <w:p w14:paraId="6FF933E1" w14:textId="77777777" w:rsidR="00C06381" w:rsidRPr="00A1652A" w:rsidRDefault="00A1652A" w:rsidP="00A1652A">
      <w:pPr>
        <w:spacing w:after="0"/>
        <w:jc w:val="both"/>
        <w:rPr>
          <w:rFonts w:ascii="Verdana" w:hAnsi="Verdana"/>
          <w:sz w:val="20"/>
          <w:szCs w:val="20"/>
          <w:lang w:val="en-US"/>
        </w:rPr>
      </w:pPr>
      <w:r w:rsidRPr="00A1652A">
        <w:rPr>
          <w:rFonts w:ascii="Verdana" w:hAnsi="Verdana"/>
          <w:sz w:val="20"/>
          <w:szCs w:val="20"/>
          <w:lang w:val="en-US"/>
        </w:rPr>
        <w:t>The learning outcomes approach is a key common principle in European transparency and recognition tools. While this approach was embedded in the initial spirit of most instruments, putting into practice has been a challenge. Learners don’t have a clear view on the direct added value.</w:t>
      </w:r>
    </w:p>
    <w:p w14:paraId="464839EC" w14:textId="77777777" w:rsidR="00A1652A" w:rsidRDefault="00A1652A" w:rsidP="00A1652A">
      <w:pPr>
        <w:spacing w:after="0"/>
        <w:jc w:val="both"/>
        <w:rPr>
          <w:rFonts w:ascii="Verdana" w:hAnsi="Verdana"/>
          <w:sz w:val="20"/>
          <w:szCs w:val="20"/>
          <w:lang w:val="en-US"/>
        </w:rPr>
      </w:pPr>
      <w:r w:rsidRPr="00A1652A">
        <w:rPr>
          <w:rFonts w:ascii="Verdana" w:hAnsi="Verdana"/>
          <w:sz w:val="20"/>
          <w:szCs w:val="20"/>
          <w:lang w:val="en-US"/>
        </w:rPr>
        <w:t>Different European tools such as ECTS and ECVET are not coherent. The Commission asks to explore how coherence between the existing systems can be enhanced.</w:t>
      </w:r>
    </w:p>
    <w:p w14:paraId="5BE2DDE3" w14:textId="77777777" w:rsidR="00A1652A" w:rsidRDefault="00A1652A" w:rsidP="00A1652A">
      <w:pPr>
        <w:pStyle w:val="Kop2"/>
        <w:rPr>
          <w:lang w:val="en-US"/>
        </w:rPr>
      </w:pPr>
      <w:r>
        <w:rPr>
          <w:lang w:val="en-US"/>
        </w:rPr>
        <w:t>EUNEC position</w:t>
      </w:r>
    </w:p>
    <w:p w14:paraId="766CC0B8" w14:textId="0A9479B8" w:rsidR="00A1652A" w:rsidRDefault="00A1652A" w:rsidP="005A1C6B">
      <w:pPr>
        <w:spacing w:after="0"/>
        <w:jc w:val="both"/>
        <w:rPr>
          <w:rFonts w:ascii="Verdana" w:hAnsi="Verdana"/>
          <w:sz w:val="20"/>
          <w:szCs w:val="20"/>
          <w:lang w:val="en-US"/>
        </w:rPr>
      </w:pPr>
      <w:r w:rsidRPr="00A1652A">
        <w:rPr>
          <w:rFonts w:ascii="Verdana" w:hAnsi="Verdana"/>
          <w:sz w:val="20"/>
          <w:szCs w:val="20"/>
          <w:lang w:val="en-US"/>
        </w:rPr>
        <w:t>For</w:t>
      </w:r>
      <w:r w:rsidR="00651E9A">
        <w:rPr>
          <w:rFonts w:ascii="Verdana" w:hAnsi="Verdana"/>
          <w:sz w:val="20"/>
          <w:szCs w:val="20"/>
          <w:lang w:val="en-US"/>
        </w:rPr>
        <w:t xml:space="preserve"> ECTS, it is important</w:t>
      </w:r>
      <w:r w:rsidRPr="00A1652A">
        <w:rPr>
          <w:rFonts w:ascii="Verdana" w:hAnsi="Verdana"/>
          <w:sz w:val="20"/>
          <w:szCs w:val="20"/>
          <w:lang w:val="en-US"/>
        </w:rPr>
        <w:t xml:space="preserve"> that the perspective is in </w:t>
      </w:r>
      <w:r w:rsidR="009A64F1">
        <w:rPr>
          <w:rFonts w:ascii="Verdana" w:hAnsi="Verdana"/>
          <w:sz w:val="20"/>
          <w:szCs w:val="20"/>
          <w:lang w:val="en-US"/>
        </w:rPr>
        <w:t>line with</w:t>
      </w:r>
      <w:r w:rsidRPr="00A1652A">
        <w:rPr>
          <w:rFonts w:ascii="Verdana" w:hAnsi="Verdana"/>
          <w:sz w:val="20"/>
          <w:szCs w:val="20"/>
          <w:lang w:val="en-US"/>
        </w:rPr>
        <w:t xml:space="preserve"> ECVET. </w:t>
      </w:r>
      <w:r w:rsidR="005A1C6B">
        <w:rPr>
          <w:rFonts w:ascii="Verdana" w:hAnsi="Verdana"/>
          <w:sz w:val="20"/>
          <w:szCs w:val="20"/>
          <w:lang w:val="en-US"/>
        </w:rPr>
        <w:t xml:space="preserve">EUNEC </w:t>
      </w:r>
      <w:r w:rsidR="002A3570">
        <w:rPr>
          <w:rFonts w:ascii="Verdana" w:hAnsi="Verdana"/>
          <w:sz w:val="20"/>
          <w:szCs w:val="20"/>
          <w:lang w:val="en-US"/>
        </w:rPr>
        <w:t>refers to its statements of the conference in Madrid</w:t>
      </w:r>
      <w:r w:rsidR="005A1C6B">
        <w:rPr>
          <w:rFonts w:ascii="Verdana" w:hAnsi="Verdana"/>
          <w:sz w:val="20"/>
          <w:szCs w:val="20"/>
          <w:lang w:val="en-US"/>
        </w:rPr>
        <w:t xml:space="preserve"> on learning outcomes (2008</w:t>
      </w:r>
      <w:r w:rsidR="002A3570">
        <w:rPr>
          <w:rFonts w:ascii="Verdana" w:hAnsi="Verdana"/>
          <w:sz w:val="20"/>
          <w:szCs w:val="20"/>
          <w:lang w:val="en-US"/>
        </w:rPr>
        <w:t xml:space="preserve">). </w:t>
      </w:r>
      <w:r w:rsidRPr="00A1652A">
        <w:rPr>
          <w:rFonts w:ascii="Verdana" w:hAnsi="Verdana"/>
          <w:sz w:val="20"/>
          <w:szCs w:val="20"/>
          <w:lang w:val="en-US"/>
        </w:rPr>
        <w:t>This does not mean that both systems have to be integrated. Each tool has its own perspective and can contribute to enhanced mobility and employability.</w:t>
      </w:r>
    </w:p>
    <w:p w14:paraId="6F7CD1FF" w14:textId="77777777" w:rsidR="00651E9A" w:rsidRDefault="00651E9A" w:rsidP="005A1C6B">
      <w:pPr>
        <w:spacing w:after="0"/>
        <w:jc w:val="both"/>
        <w:rPr>
          <w:rFonts w:ascii="Verdana" w:hAnsi="Verdana"/>
          <w:sz w:val="20"/>
          <w:szCs w:val="20"/>
          <w:lang w:val="en-US"/>
        </w:rPr>
      </w:pPr>
    </w:p>
    <w:p w14:paraId="135808DD" w14:textId="2B9C0374" w:rsidR="00651E9A" w:rsidRDefault="00651E9A" w:rsidP="005A1C6B">
      <w:pPr>
        <w:spacing w:after="0"/>
        <w:jc w:val="both"/>
        <w:rPr>
          <w:rFonts w:ascii="Verdana" w:hAnsi="Verdana"/>
          <w:sz w:val="20"/>
          <w:szCs w:val="20"/>
          <w:lang w:val="en-US"/>
        </w:rPr>
      </w:pPr>
      <w:r>
        <w:rPr>
          <w:rFonts w:ascii="Verdana" w:hAnsi="Verdana"/>
          <w:sz w:val="20"/>
          <w:szCs w:val="20"/>
          <w:lang w:val="en-US"/>
        </w:rPr>
        <w:t xml:space="preserve">The focus on measurable learning outcomes should not lead to a narrow approach of education. </w:t>
      </w:r>
      <w:r w:rsidRPr="00651E9A">
        <w:rPr>
          <w:rFonts w:ascii="Verdana" w:hAnsi="Verdana"/>
          <w:sz w:val="20"/>
          <w:szCs w:val="20"/>
          <w:lang w:val="en-US"/>
        </w:rPr>
        <w:t>Variables related to input and to process are as important for the quality of education. Due to the principle of subsidiarity, they belong to the autonomy of the Member States.</w:t>
      </w:r>
    </w:p>
    <w:p w14:paraId="452A4ABB" w14:textId="77777777" w:rsidR="00A1652A" w:rsidRDefault="00A1652A" w:rsidP="00062EB2">
      <w:pPr>
        <w:pStyle w:val="Kop1"/>
        <w:rPr>
          <w:lang w:val="en-US"/>
        </w:rPr>
      </w:pPr>
      <w:r>
        <w:rPr>
          <w:lang w:val="en-US"/>
        </w:rPr>
        <w:t xml:space="preserve">Ensuring clarity of rules </w:t>
      </w:r>
    </w:p>
    <w:p w14:paraId="0281B364" w14:textId="3BFD25F6" w:rsidR="0066725B" w:rsidRDefault="0066725B" w:rsidP="0066725B">
      <w:pPr>
        <w:pStyle w:val="Kop2"/>
        <w:rPr>
          <w:lang w:val="en-US"/>
        </w:rPr>
      </w:pPr>
      <w:r>
        <w:rPr>
          <w:lang w:val="en-US"/>
        </w:rPr>
        <w:t>Proposal</w:t>
      </w:r>
    </w:p>
    <w:p w14:paraId="44CBB36F" w14:textId="77777777" w:rsidR="0066725B" w:rsidRPr="006807E3" w:rsidRDefault="0066725B" w:rsidP="006807E3">
      <w:pPr>
        <w:jc w:val="both"/>
        <w:rPr>
          <w:rFonts w:ascii="Verdana" w:hAnsi="Verdana"/>
          <w:sz w:val="20"/>
          <w:szCs w:val="20"/>
          <w:lang w:val="en-US"/>
        </w:rPr>
      </w:pPr>
      <w:r w:rsidRPr="006807E3">
        <w:rPr>
          <w:rFonts w:ascii="Verdana" w:hAnsi="Verdana"/>
          <w:sz w:val="20"/>
          <w:szCs w:val="20"/>
          <w:lang w:val="en-US"/>
        </w:rPr>
        <w:t>For higher education, the Lisbon Recognition Convention – supported by the network of national recognition centers (ENIC-NARICs</w:t>
      </w:r>
      <w:r w:rsidR="00621A22">
        <w:rPr>
          <w:rStyle w:val="Voetnootmarkering"/>
          <w:rFonts w:ascii="Verdana" w:hAnsi="Verdana"/>
          <w:sz w:val="20"/>
          <w:szCs w:val="20"/>
          <w:lang w:val="en-US"/>
        </w:rPr>
        <w:footnoteReference w:id="6"/>
      </w:r>
      <w:r w:rsidR="00621A22">
        <w:rPr>
          <w:rFonts w:ascii="Verdana" w:hAnsi="Verdana"/>
          <w:sz w:val="20"/>
          <w:szCs w:val="20"/>
          <w:lang w:val="en-US"/>
        </w:rPr>
        <w:t>)</w:t>
      </w:r>
      <w:r w:rsidRPr="006807E3">
        <w:rPr>
          <w:rFonts w:ascii="Verdana" w:hAnsi="Verdana"/>
          <w:sz w:val="20"/>
          <w:szCs w:val="20"/>
          <w:lang w:val="en-US"/>
        </w:rPr>
        <w:t xml:space="preserve"> – supports the recognition practice in signatory countries. For general education, vocational education and training, or adult education, there is no European or international coordination or guidance regarding the recognition of qualification for further studies. Each Member State is applying its own rules. </w:t>
      </w:r>
    </w:p>
    <w:p w14:paraId="55AF7454" w14:textId="77777777" w:rsidR="0066725B" w:rsidRPr="006807E3" w:rsidRDefault="0066725B" w:rsidP="006807E3">
      <w:pPr>
        <w:jc w:val="both"/>
        <w:rPr>
          <w:rFonts w:ascii="Verdana" w:hAnsi="Verdana"/>
          <w:sz w:val="20"/>
          <w:szCs w:val="20"/>
          <w:lang w:val="en-US"/>
        </w:rPr>
      </w:pPr>
      <w:r w:rsidRPr="006807E3">
        <w:rPr>
          <w:rFonts w:ascii="Verdana" w:hAnsi="Verdana"/>
          <w:sz w:val="20"/>
          <w:szCs w:val="20"/>
          <w:lang w:val="en-US"/>
        </w:rPr>
        <w:lastRenderedPageBreak/>
        <w:t xml:space="preserve">The digital revolution offers opportunities for learning in other Member States, but this also raises new challenges for current tools for transparency and recognition. </w:t>
      </w:r>
    </w:p>
    <w:p w14:paraId="470EA48A" w14:textId="77777777" w:rsidR="0066725B" w:rsidRPr="006807E3" w:rsidRDefault="0066725B" w:rsidP="006807E3">
      <w:pPr>
        <w:jc w:val="both"/>
        <w:rPr>
          <w:rFonts w:ascii="Verdana" w:hAnsi="Verdana"/>
          <w:sz w:val="20"/>
          <w:szCs w:val="20"/>
          <w:lang w:val="en-US"/>
        </w:rPr>
      </w:pPr>
      <w:r w:rsidRPr="006807E3">
        <w:rPr>
          <w:rFonts w:ascii="Verdana" w:hAnsi="Verdana"/>
          <w:sz w:val="20"/>
          <w:szCs w:val="20"/>
          <w:lang w:val="en-US"/>
        </w:rPr>
        <w:t>The Commission asks to explore how to make recognition easier, with a view on further learning, in order to support mobility between ed</w:t>
      </w:r>
      <w:r w:rsidR="006807E3" w:rsidRPr="006807E3">
        <w:rPr>
          <w:rFonts w:ascii="Verdana" w:hAnsi="Verdana"/>
          <w:sz w:val="20"/>
          <w:szCs w:val="20"/>
          <w:lang w:val="en-US"/>
        </w:rPr>
        <w:t>ucation and training sub-systems within and across countrie</w:t>
      </w:r>
      <w:r w:rsidRPr="006807E3">
        <w:rPr>
          <w:rFonts w:ascii="Verdana" w:hAnsi="Verdana"/>
          <w:sz w:val="20"/>
          <w:szCs w:val="20"/>
          <w:lang w:val="en-US"/>
        </w:rPr>
        <w:t xml:space="preserve">s. </w:t>
      </w:r>
    </w:p>
    <w:p w14:paraId="17CB1CCC" w14:textId="77777777" w:rsidR="006807E3" w:rsidRDefault="006807E3" w:rsidP="006807E3">
      <w:pPr>
        <w:pStyle w:val="Kop2"/>
        <w:rPr>
          <w:lang w:val="en-US"/>
        </w:rPr>
      </w:pPr>
      <w:r>
        <w:rPr>
          <w:lang w:val="en-US"/>
        </w:rPr>
        <w:t xml:space="preserve">EUNEC position </w:t>
      </w:r>
    </w:p>
    <w:p w14:paraId="661C8FB4" w14:textId="77777777" w:rsidR="006807E3" w:rsidRPr="006807E3" w:rsidRDefault="006807E3" w:rsidP="006807E3">
      <w:pPr>
        <w:jc w:val="both"/>
        <w:rPr>
          <w:rFonts w:ascii="Verdana" w:hAnsi="Verdana"/>
          <w:sz w:val="20"/>
          <w:szCs w:val="20"/>
          <w:lang w:val="en-US"/>
        </w:rPr>
      </w:pPr>
      <w:r w:rsidRPr="006807E3">
        <w:rPr>
          <w:rFonts w:ascii="Verdana" w:hAnsi="Verdana"/>
          <w:sz w:val="20"/>
          <w:szCs w:val="20"/>
          <w:lang w:val="en-US"/>
        </w:rPr>
        <w:t xml:space="preserve">EUNEC states that a </w:t>
      </w:r>
      <w:r w:rsidR="00224E77">
        <w:rPr>
          <w:rFonts w:ascii="Verdana" w:hAnsi="Verdana"/>
          <w:sz w:val="20"/>
          <w:szCs w:val="20"/>
          <w:lang w:val="en-US"/>
        </w:rPr>
        <w:t>balanced</w:t>
      </w:r>
      <w:r w:rsidRPr="006807E3">
        <w:rPr>
          <w:rFonts w:ascii="Verdana" w:hAnsi="Verdana"/>
          <w:sz w:val="20"/>
          <w:szCs w:val="20"/>
          <w:lang w:val="en-US"/>
        </w:rPr>
        <w:t xml:space="preserve"> judgment of the competences of a citizen is needed when considering procedures for the recognition of those competences. The judgment should never be a</w:t>
      </w:r>
      <w:r w:rsidR="00224E77">
        <w:rPr>
          <w:rFonts w:ascii="Verdana" w:hAnsi="Verdana"/>
          <w:sz w:val="20"/>
          <w:szCs w:val="20"/>
          <w:lang w:val="en-US"/>
        </w:rPr>
        <w:t>n all-or-nothing verdict</w:t>
      </w:r>
      <w:r w:rsidRPr="006807E3">
        <w:rPr>
          <w:rFonts w:ascii="Verdana" w:hAnsi="Verdana"/>
          <w:sz w:val="20"/>
          <w:szCs w:val="20"/>
          <w:lang w:val="en-US"/>
        </w:rPr>
        <w:t xml:space="preserve">. Clear attention for </w:t>
      </w:r>
      <w:r w:rsidR="00D673B0">
        <w:rPr>
          <w:rFonts w:ascii="Verdana" w:hAnsi="Verdana"/>
          <w:sz w:val="20"/>
          <w:szCs w:val="20"/>
          <w:lang w:val="en-US"/>
        </w:rPr>
        <w:t xml:space="preserve">recognition of prior learning </w:t>
      </w:r>
      <w:r w:rsidRPr="006807E3">
        <w:rPr>
          <w:rFonts w:ascii="Verdana" w:hAnsi="Verdana"/>
          <w:sz w:val="20"/>
          <w:szCs w:val="20"/>
          <w:lang w:val="en-US"/>
        </w:rPr>
        <w:t>is needed, in order to facilitate lifelong learning mobility. The b</w:t>
      </w:r>
      <w:r w:rsidR="00D673B0">
        <w:rPr>
          <w:rFonts w:ascii="Verdana" w:hAnsi="Verdana"/>
          <w:sz w:val="20"/>
          <w:szCs w:val="20"/>
          <w:lang w:val="en-US"/>
        </w:rPr>
        <w:t>urden of proof</w:t>
      </w:r>
      <w:r w:rsidRPr="006807E3">
        <w:rPr>
          <w:rFonts w:ascii="Verdana" w:hAnsi="Verdana"/>
          <w:sz w:val="20"/>
          <w:szCs w:val="20"/>
          <w:lang w:val="en-US"/>
        </w:rPr>
        <w:t xml:space="preserve"> has to be with the host institution. The learner has to be at the center. </w:t>
      </w:r>
    </w:p>
    <w:p w14:paraId="5981C1B1" w14:textId="7F1EE5E5" w:rsidR="006807E3" w:rsidRPr="005A1C6B" w:rsidRDefault="006807E3" w:rsidP="005A1C6B">
      <w:pPr>
        <w:jc w:val="both"/>
        <w:rPr>
          <w:rFonts w:ascii="Verdana" w:hAnsi="Verdana"/>
          <w:sz w:val="20"/>
          <w:szCs w:val="20"/>
          <w:lang w:val="en-US"/>
        </w:rPr>
      </w:pPr>
      <w:r w:rsidRPr="006807E3">
        <w:rPr>
          <w:rFonts w:ascii="Verdana" w:hAnsi="Verdana"/>
          <w:sz w:val="20"/>
          <w:szCs w:val="20"/>
          <w:lang w:val="en-US"/>
        </w:rPr>
        <w:t xml:space="preserve">Regarding the European directives for the recognition of professional qualifications, this is not just a technical problem that can be solved thanks to transparency tools. The fact that a number of countries protect their </w:t>
      </w:r>
      <w:proofErr w:type="spellStart"/>
      <w:r w:rsidRPr="006807E3">
        <w:rPr>
          <w:rFonts w:ascii="Verdana" w:hAnsi="Verdana"/>
          <w:sz w:val="20"/>
          <w:szCs w:val="20"/>
          <w:lang w:val="en-US"/>
        </w:rPr>
        <w:t>labour</w:t>
      </w:r>
      <w:proofErr w:type="spellEnd"/>
      <w:r w:rsidRPr="006807E3">
        <w:rPr>
          <w:rFonts w:ascii="Verdana" w:hAnsi="Verdana"/>
          <w:sz w:val="20"/>
          <w:szCs w:val="20"/>
          <w:lang w:val="en-US"/>
        </w:rPr>
        <w:t xml:space="preserve"> market, is rather a political problem. </w:t>
      </w:r>
    </w:p>
    <w:p w14:paraId="61F0951D" w14:textId="77777777" w:rsidR="004E0612" w:rsidRDefault="004E0612" w:rsidP="00C22A9E">
      <w:pPr>
        <w:pStyle w:val="Kop1"/>
        <w:rPr>
          <w:lang w:val="en-US"/>
        </w:rPr>
      </w:pPr>
      <w:r w:rsidRPr="004E0612">
        <w:rPr>
          <w:lang w:val="en-US"/>
        </w:rPr>
        <w:t xml:space="preserve"> </w:t>
      </w:r>
      <w:r w:rsidR="00C22A9E">
        <w:rPr>
          <w:lang w:val="en-US"/>
        </w:rPr>
        <w:t xml:space="preserve"> </w:t>
      </w:r>
      <w:r w:rsidR="006807E3">
        <w:rPr>
          <w:lang w:val="en-US"/>
        </w:rPr>
        <w:t>Increasing the focus on quality assurance</w:t>
      </w:r>
    </w:p>
    <w:p w14:paraId="6595765D" w14:textId="77777777" w:rsidR="006807E3" w:rsidRDefault="006807E3" w:rsidP="006807E3">
      <w:pPr>
        <w:pStyle w:val="Kop2"/>
        <w:rPr>
          <w:lang w:val="en-US"/>
        </w:rPr>
      </w:pPr>
      <w:r>
        <w:rPr>
          <w:lang w:val="en-US"/>
        </w:rPr>
        <w:t>Proposals</w:t>
      </w:r>
    </w:p>
    <w:p w14:paraId="31EABF27" w14:textId="77777777" w:rsidR="006807E3" w:rsidRPr="002D0FB8" w:rsidRDefault="006807E3" w:rsidP="002D0FB8">
      <w:pPr>
        <w:jc w:val="both"/>
        <w:rPr>
          <w:rFonts w:ascii="Verdana" w:hAnsi="Verdana"/>
          <w:sz w:val="20"/>
          <w:szCs w:val="20"/>
          <w:lang w:val="en-US"/>
        </w:rPr>
      </w:pPr>
      <w:r w:rsidRPr="002D0FB8">
        <w:rPr>
          <w:rFonts w:ascii="Verdana" w:hAnsi="Verdana"/>
          <w:sz w:val="20"/>
          <w:szCs w:val="20"/>
          <w:lang w:val="en-US"/>
        </w:rPr>
        <w:t>European quality assurance arrangements have been put in place in different contexts: ESG (</w:t>
      </w:r>
      <w:r w:rsidR="00D673B0" w:rsidRPr="005A1C6B">
        <w:rPr>
          <w:rFonts w:ascii="Verdana" w:hAnsi="Verdana"/>
          <w:sz w:val="20"/>
          <w:szCs w:val="20"/>
          <w:lang w:val="en-GB"/>
        </w:rPr>
        <w:t>Standards and Guidelines for Quality Assurance in the European Higher Education Area</w:t>
      </w:r>
      <w:r w:rsidRPr="002D0FB8">
        <w:rPr>
          <w:rFonts w:ascii="Verdana" w:hAnsi="Verdana"/>
          <w:sz w:val="20"/>
          <w:szCs w:val="20"/>
          <w:lang w:val="en-US"/>
        </w:rPr>
        <w:t>), EQAVET (</w:t>
      </w:r>
      <w:r w:rsidR="00D673B0">
        <w:rPr>
          <w:rFonts w:ascii="Verdana" w:hAnsi="Verdana"/>
          <w:sz w:val="20"/>
          <w:szCs w:val="20"/>
          <w:lang w:val="en-US"/>
        </w:rPr>
        <w:t xml:space="preserve">European Quality Assurance in </w:t>
      </w:r>
      <w:r w:rsidRPr="002D0FB8">
        <w:rPr>
          <w:rFonts w:ascii="Verdana" w:hAnsi="Verdana"/>
          <w:sz w:val="20"/>
          <w:szCs w:val="20"/>
          <w:lang w:val="en-US"/>
        </w:rPr>
        <w:t xml:space="preserve">Vocational education and training), and EQF quality </w:t>
      </w:r>
      <w:r w:rsidR="00713C8B" w:rsidRPr="002D0FB8">
        <w:rPr>
          <w:rFonts w:ascii="Verdana" w:hAnsi="Verdana"/>
          <w:sz w:val="20"/>
          <w:szCs w:val="20"/>
          <w:lang w:val="en-US"/>
        </w:rPr>
        <w:t>assurance principles. The principles of the three tools do not provide specific guidance for the quality assurance of the learning outcomes approach, qualifications and qualifications frameworks. Moreover, individuals move increasingly between systems and more and more learning opportunities no longer fit in conventional classification environments.</w:t>
      </w:r>
    </w:p>
    <w:p w14:paraId="15B40E31" w14:textId="77777777" w:rsidR="00713C8B" w:rsidRPr="002D0FB8" w:rsidRDefault="00713C8B" w:rsidP="002D0FB8">
      <w:pPr>
        <w:jc w:val="both"/>
        <w:rPr>
          <w:rFonts w:ascii="Verdana" w:hAnsi="Verdana"/>
          <w:sz w:val="20"/>
          <w:szCs w:val="20"/>
          <w:lang w:val="en-US"/>
        </w:rPr>
      </w:pPr>
      <w:r w:rsidRPr="002D0FB8">
        <w:rPr>
          <w:rFonts w:ascii="Verdana" w:hAnsi="Verdana"/>
          <w:sz w:val="20"/>
          <w:szCs w:val="20"/>
          <w:lang w:val="en-US"/>
        </w:rPr>
        <w:t>This may call for a common understanding of quality and a common set of basic principles. This can increase mutual trust across countries and different education sub-systems.</w:t>
      </w:r>
    </w:p>
    <w:p w14:paraId="37912B2B" w14:textId="77777777" w:rsidR="00713C8B" w:rsidRDefault="00713C8B" w:rsidP="00713C8B">
      <w:pPr>
        <w:pStyle w:val="Kop2"/>
        <w:rPr>
          <w:lang w:val="en-US"/>
        </w:rPr>
      </w:pPr>
      <w:r>
        <w:rPr>
          <w:lang w:val="en-US"/>
        </w:rPr>
        <w:t>EUNEC position</w:t>
      </w:r>
    </w:p>
    <w:p w14:paraId="5731E165" w14:textId="77777777" w:rsidR="00713C8B" w:rsidRDefault="00713C8B" w:rsidP="002D0FB8">
      <w:pPr>
        <w:jc w:val="both"/>
        <w:rPr>
          <w:rFonts w:ascii="Verdana" w:hAnsi="Verdana"/>
          <w:sz w:val="20"/>
          <w:szCs w:val="20"/>
          <w:lang w:val="en-US"/>
        </w:rPr>
      </w:pPr>
      <w:r w:rsidRPr="002D0FB8">
        <w:rPr>
          <w:rFonts w:ascii="Verdana" w:hAnsi="Verdana"/>
          <w:sz w:val="20"/>
          <w:szCs w:val="20"/>
          <w:lang w:val="en-US"/>
        </w:rPr>
        <w:t>Quality insurance should not lead to less attention for aspects such as personality building. EUNEC states that there is a risk that non-measurable aspects are under pressure because of systems of quality insurance.</w:t>
      </w:r>
    </w:p>
    <w:p w14:paraId="2FA0B230" w14:textId="77777777" w:rsidR="00713C8B" w:rsidRDefault="00713C8B" w:rsidP="00713C8B">
      <w:pPr>
        <w:pStyle w:val="Kop1"/>
        <w:rPr>
          <w:lang w:val="en-US"/>
        </w:rPr>
      </w:pPr>
      <w:r>
        <w:rPr>
          <w:lang w:val="en-US"/>
        </w:rPr>
        <w:t>Providing learners and workers with a single access point to obtain information and services supporting a ‘European area of skills and qualifications’</w:t>
      </w:r>
    </w:p>
    <w:p w14:paraId="42E0B4C1" w14:textId="77777777" w:rsidR="00713C8B" w:rsidRDefault="00713C8B" w:rsidP="00713C8B">
      <w:pPr>
        <w:pStyle w:val="Kop2"/>
        <w:rPr>
          <w:lang w:val="en-US"/>
        </w:rPr>
      </w:pPr>
      <w:r>
        <w:rPr>
          <w:lang w:val="en-US"/>
        </w:rPr>
        <w:t>Proposal</w:t>
      </w:r>
    </w:p>
    <w:p w14:paraId="4183175F" w14:textId="77777777" w:rsidR="00713C8B" w:rsidRPr="002D0FB8" w:rsidRDefault="00713C8B" w:rsidP="002D0FB8">
      <w:pPr>
        <w:jc w:val="both"/>
        <w:rPr>
          <w:rFonts w:ascii="Verdana" w:hAnsi="Verdana"/>
          <w:sz w:val="20"/>
          <w:szCs w:val="20"/>
          <w:lang w:val="en-US"/>
        </w:rPr>
      </w:pPr>
      <w:r w:rsidRPr="002D0FB8">
        <w:rPr>
          <w:rFonts w:ascii="Verdana" w:hAnsi="Verdana"/>
          <w:sz w:val="20"/>
          <w:szCs w:val="20"/>
          <w:lang w:val="en-US"/>
        </w:rPr>
        <w:t xml:space="preserve">Various networks and websites have been created for the tools that are established for facilitating mobility. They deal with certain aspects of transparency and mobility, but </w:t>
      </w:r>
      <w:r w:rsidRPr="002D0FB8">
        <w:rPr>
          <w:rFonts w:ascii="Verdana" w:hAnsi="Verdana"/>
          <w:sz w:val="20"/>
          <w:szCs w:val="20"/>
          <w:lang w:val="en-US"/>
        </w:rPr>
        <w:lastRenderedPageBreak/>
        <w:t>none provides a complete overview of the information available in this area. For learners and workers, it is not easy to find information.</w:t>
      </w:r>
    </w:p>
    <w:p w14:paraId="5D246762" w14:textId="77777777" w:rsidR="00713C8B" w:rsidRPr="002D0FB8" w:rsidRDefault="00713C8B" w:rsidP="002D0FB8">
      <w:pPr>
        <w:jc w:val="both"/>
        <w:rPr>
          <w:rFonts w:ascii="Verdana" w:hAnsi="Verdana"/>
          <w:sz w:val="20"/>
          <w:szCs w:val="20"/>
          <w:lang w:val="en-US"/>
        </w:rPr>
      </w:pPr>
      <w:r w:rsidRPr="002D0FB8">
        <w:rPr>
          <w:rFonts w:ascii="Verdana" w:hAnsi="Verdana"/>
          <w:sz w:val="20"/>
          <w:szCs w:val="20"/>
          <w:lang w:val="en-US"/>
        </w:rPr>
        <w:t>The Commission wants to investigate the possible advantages of the integration of these resources into a single access point for more user-friendly and visible services providing information on skills and qualifications recognition and transparency</w:t>
      </w:r>
      <w:r w:rsidR="002D0FB8" w:rsidRPr="002D0FB8">
        <w:rPr>
          <w:rFonts w:ascii="Verdana" w:hAnsi="Verdana"/>
          <w:sz w:val="20"/>
          <w:szCs w:val="20"/>
          <w:lang w:val="en-US"/>
        </w:rPr>
        <w:t xml:space="preserve">, mobility opportunities, apprenticeship opportunities. </w:t>
      </w:r>
    </w:p>
    <w:p w14:paraId="589F0C91" w14:textId="77777777" w:rsidR="002D0FB8" w:rsidRDefault="002D0FB8" w:rsidP="002D0FB8">
      <w:pPr>
        <w:pStyle w:val="Kop2"/>
        <w:rPr>
          <w:lang w:val="en-US"/>
        </w:rPr>
      </w:pPr>
      <w:r>
        <w:rPr>
          <w:lang w:val="en-US"/>
        </w:rPr>
        <w:t>EUNEC position</w:t>
      </w:r>
    </w:p>
    <w:p w14:paraId="68B1FB14" w14:textId="77777777" w:rsidR="002D0FB8" w:rsidRPr="002D0FB8" w:rsidRDefault="002D0FB8" w:rsidP="002D0FB8">
      <w:pPr>
        <w:jc w:val="both"/>
        <w:rPr>
          <w:rFonts w:ascii="Verdana" w:hAnsi="Verdana"/>
          <w:sz w:val="20"/>
          <w:szCs w:val="20"/>
          <w:lang w:val="en-US"/>
        </w:rPr>
      </w:pPr>
      <w:r w:rsidRPr="002D0FB8">
        <w:rPr>
          <w:rFonts w:ascii="Verdana" w:hAnsi="Verdana"/>
          <w:sz w:val="20"/>
          <w:szCs w:val="20"/>
          <w:lang w:val="en-US"/>
        </w:rPr>
        <w:t>EUNEC states that there are a number of critical conditions for the integration of different services:</w:t>
      </w:r>
    </w:p>
    <w:p w14:paraId="0EFA1765" w14:textId="77777777" w:rsidR="002D0FB8" w:rsidRPr="002D0FB8" w:rsidRDefault="002D0FB8" w:rsidP="002D0FB8">
      <w:pPr>
        <w:pStyle w:val="Lijstalinea"/>
        <w:numPr>
          <w:ilvl w:val="0"/>
          <w:numId w:val="40"/>
        </w:numPr>
        <w:jc w:val="both"/>
        <w:rPr>
          <w:rFonts w:ascii="Verdana" w:hAnsi="Verdana"/>
          <w:sz w:val="20"/>
          <w:szCs w:val="20"/>
          <w:lang w:val="en-US"/>
        </w:rPr>
      </w:pPr>
      <w:r w:rsidRPr="002D0FB8">
        <w:rPr>
          <w:rFonts w:ascii="Verdana" w:hAnsi="Verdana"/>
          <w:sz w:val="20"/>
          <w:szCs w:val="20"/>
          <w:lang w:val="en-US"/>
        </w:rPr>
        <w:t>It is important to take into account the different perspectives of the users: learners, workers, future citizens, ..</w:t>
      </w:r>
    </w:p>
    <w:p w14:paraId="2B602B19" w14:textId="77777777" w:rsidR="002D0FB8" w:rsidRPr="002D0FB8" w:rsidRDefault="002D0FB8" w:rsidP="002D0FB8">
      <w:pPr>
        <w:pStyle w:val="Lijstalinea"/>
        <w:numPr>
          <w:ilvl w:val="0"/>
          <w:numId w:val="40"/>
        </w:numPr>
        <w:jc w:val="both"/>
        <w:rPr>
          <w:rFonts w:ascii="Verdana" w:hAnsi="Verdana"/>
          <w:sz w:val="20"/>
          <w:szCs w:val="20"/>
          <w:lang w:val="en-US"/>
        </w:rPr>
      </w:pPr>
      <w:r w:rsidRPr="002D0FB8">
        <w:rPr>
          <w:rFonts w:ascii="Verdana" w:hAnsi="Verdana"/>
          <w:sz w:val="20"/>
          <w:szCs w:val="20"/>
          <w:lang w:val="en-US"/>
        </w:rPr>
        <w:t>A local contact point remains necessary.</w:t>
      </w:r>
    </w:p>
    <w:p w14:paraId="23623AC5" w14:textId="77777777" w:rsidR="002D0FB8" w:rsidRPr="002D0FB8" w:rsidRDefault="002D0FB8" w:rsidP="002D0FB8">
      <w:pPr>
        <w:pStyle w:val="Lijstalinea"/>
        <w:numPr>
          <w:ilvl w:val="0"/>
          <w:numId w:val="40"/>
        </w:numPr>
        <w:jc w:val="both"/>
        <w:rPr>
          <w:rFonts w:ascii="Verdana" w:hAnsi="Verdana"/>
          <w:sz w:val="20"/>
          <w:szCs w:val="20"/>
          <w:lang w:val="en-US"/>
        </w:rPr>
      </w:pPr>
      <w:r w:rsidRPr="002D0FB8">
        <w:rPr>
          <w:rFonts w:ascii="Verdana" w:hAnsi="Verdana"/>
          <w:sz w:val="20"/>
          <w:szCs w:val="20"/>
          <w:lang w:val="en-US"/>
        </w:rPr>
        <w:t>Follow-up and updating are crucial.</w:t>
      </w:r>
    </w:p>
    <w:p w14:paraId="0A75657F" w14:textId="77777777" w:rsidR="002D0FB8" w:rsidRPr="002D0FB8" w:rsidRDefault="002D0FB8" w:rsidP="002D0FB8">
      <w:pPr>
        <w:pStyle w:val="Lijstalinea"/>
        <w:numPr>
          <w:ilvl w:val="0"/>
          <w:numId w:val="40"/>
        </w:numPr>
        <w:jc w:val="both"/>
        <w:rPr>
          <w:rFonts w:ascii="Verdana" w:hAnsi="Verdana"/>
          <w:sz w:val="20"/>
          <w:szCs w:val="20"/>
          <w:lang w:val="en-US"/>
        </w:rPr>
      </w:pPr>
      <w:r w:rsidRPr="002D0FB8">
        <w:rPr>
          <w:rFonts w:ascii="Verdana" w:hAnsi="Verdana"/>
          <w:sz w:val="20"/>
          <w:szCs w:val="20"/>
          <w:lang w:val="en-US"/>
        </w:rPr>
        <w:t>Mobility should not be limited to EU Member States. Often, questions are related to mobility as such and are not limited to the EU area.</w:t>
      </w:r>
    </w:p>
    <w:p w14:paraId="67A09AEA" w14:textId="31EFA522" w:rsidR="004E0612" w:rsidRPr="00F154CD" w:rsidRDefault="002D0FB8" w:rsidP="00F154CD">
      <w:pPr>
        <w:pStyle w:val="Lijstalinea"/>
        <w:numPr>
          <w:ilvl w:val="0"/>
          <w:numId w:val="40"/>
        </w:numPr>
        <w:jc w:val="both"/>
        <w:rPr>
          <w:rFonts w:ascii="Verdana" w:hAnsi="Verdana"/>
          <w:sz w:val="20"/>
          <w:szCs w:val="20"/>
          <w:lang w:val="en-US"/>
        </w:rPr>
      </w:pPr>
      <w:r w:rsidRPr="00D673B0">
        <w:rPr>
          <w:rFonts w:ascii="Verdana" w:hAnsi="Verdana"/>
          <w:sz w:val="20"/>
          <w:szCs w:val="20"/>
          <w:lang w:val="en-US"/>
        </w:rPr>
        <w:t>Need for clear agreements on the tasks: what is the role of the Member State, what is the role of the EU?</w:t>
      </w:r>
    </w:p>
    <w:sectPr w:rsidR="004E0612" w:rsidRPr="00F154CD" w:rsidSect="00EF04A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A61C3" w14:textId="77777777" w:rsidR="00A06C92" w:rsidRDefault="00A06C92" w:rsidP="002033E4">
      <w:pPr>
        <w:spacing w:after="0" w:line="240" w:lineRule="auto"/>
      </w:pPr>
      <w:r>
        <w:separator/>
      </w:r>
    </w:p>
  </w:endnote>
  <w:endnote w:type="continuationSeparator" w:id="0">
    <w:p w14:paraId="7913B5E2" w14:textId="77777777" w:rsidR="00A06C92" w:rsidRDefault="00A06C92" w:rsidP="0020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C69B6" w14:textId="77777777" w:rsidR="00A06C92" w:rsidRDefault="00A06C92" w:rsidP="002033E4">
      <w:pPr>
        <w:spacing w:after="0" w:line="240" w:lineRule="auto"/>
      </w:pPr>
      <w:r>
        <w:separator/>
      </w:r>
    </w:p>
  </w:footnote>
  <w:footnote w:type="continuationSeparator" w:id="0">
    <w:p w14:paraId="5B9F56BA" w14:textId="77777777" w:rsidR="00A06C92" w:rsidRDefault="00A06C92" w:rsidP="002033E4">
      <w:pPr>
        <w:spacing w:after="0" w:line="240" w:lineRule="auto"/>
      </w:pPr>
      <w:r>
        <w:continuationSeparator/>
      </w:r>
    </w:p>
  </w:footnote>
  <w:footnote w:id="1">
    <w:p w14:paraId="74C9B97F" w14:textId="77777777" w:rsidR="008A4EE3" w:rsidRPr="005A1C6B" w:rsidRDefault="008A4EE3" w:rsidP="008A4EE3">
      <w:pPr>
        <w:pStyle w:val="Voetnoottekst"/>
        <w:rPr>
          <w:lang w:val="en-GB"/>
        </w:rPr>
      </w:pPr>
      <w:r>
        <w:rPr>
          <w:rStyle w:val="Voetnootmarkering"/>
        </w:rPr>
        <w:footnoteRef/>
      </w:r>
      <w:r w:rsidRPr="005A1C6B">
        <w:rPr>
          <w:lang w:val="en-GB"/>
        </w:rPr>
        <w:t xml:space="preserve"> </w:t>
      </w:r>
      <w:hyperlink r:id="rId1" w:history="1">
        <w:r w:rsidR="0094021C" w:rsidRPr="005A1C6B">
          <w:rPr>
            <w:rStyle w:val="Hyperlink"/>
            <w:lang w:val="en-GB"/>
          </w:rPr>
          <w:t>Stakeholder consultation on a European area of skills and qualifications</w:t>
        </w:r>
      </w:hyperlink>
      <w:r w:rsidR="0094021C" w:rsidRPr="005A1C6B">
        <w:rPr>
          <w:lang w:val="en-GB"/>
        </w:rPr>
        <w:t xml:space="preserve">. </w:t>
      </w:r>
      <w:r w:rsidRPr="005A1C6B">
        <w:rPr>
          <w:lang w:val="en-GB"/>
        </w:rPr>
        <w:t xml:space="preserve"> The existing instruments are described in Annex 1 of the consultation document.</w:t>
      </w:r>
    </w:p>
  </w:footnote>
  <w:footnote w:id="2">
    <w:p w14:paraId="51C2040D" w14:textId="2CA3875B" w:rsidR="005A1C6B" w:rsidRPr="005A1C6B" w:rsidRDefault="005A1C6B">
      <w:pPr>
        <w:pStyle w:val="Voetnoottekst"/>
        <w:rPr>
          <w:lang w:val="en-GB"/>
        </w:rPr>
      </w:pPr>
      <w:r>
        <w:rPr>
          <w:rStyle w:val="Voetnootmarkering"/>
        </w:rPr>
        <w:footnoteRef/>
      </w:r>
      <w:r w:rsidRPr="005A1C6B">
        <w:rPr>
          <w:lang w:val="en-GB"/>
        </w:rPr>
        <w:t xml:space="preserve"> </w:t>
      </w:r>
      <w:r>
        <w:rPr>
          <w:lang w:val="en-GB"/>
        </w:rPr>
        <w:t xml:space="preserve">All EUNEC statements are available at www.eunec.eu </w:t>
      </w:r>
    </w:p>
  </w:footnote>
  <w:footnote w:id="3">
    <w:p w14:paraId="79DE408F" w14:textId="77777777" w:rsidR="004E0612" w:rsidRPr="005A1C6B" w:rsidRDefault="004E0612" w:rsidP="004E0612">
      <w:pPr>
        <w:pStyle w:val="Voetnoottekst"/>
        <w:rPr>
          <w:lang w:val="en-GB"/>
        </w:rPr>
      </w:pPr>
      <w:r>
        <w:rPr>
          <w:rStyle w:val="Voetnootmarkering"/>
        </w:rPr>
        <w:footnoteRef/>
      </w:r>
      <w:r w:rsidRPr="005A1C6B">
        <w:rPr>
          <w:lang w:val="en-GB"/>
        </w:rPr>
        <w:t xml:space="preserve"> </w:t>
      </w:r>
      <w:hyperlink r:id="rId2" w:history="1">
        <w:r w:rsidR="0094021C" w:rsidRPr="005A1C6B">
          <w:rPr>
            <w:rStyle w:val="Hyperlink"/>
            <w:iCs/>
            <w:lang w:val="en-GB"/>
          </w:rPr>
          <w:t>Common European Framework of Reference for Languages: Learning, Teaching, Assessment</w:t>
        </w:r>
        <w:r w:rsidR="0094021C" w:rsidRPr="005A1C6B">
          <w:rPr>
            <w:rStyle w:val="Hyperlink"/>
            <w:lang w:val="en-GB"/>
          </w:rPr>
          <w:t xml:space="preserve"> (CEFR)</w:t>
        </w:r>
      </w:hyperlink>
    </w:p>
  </w:footnote>
  <w:footnote w:id="4">
    <w:p w14:paraId="5E5F9EDD" w14:textId="77777777" w:rsidR="004E0612" w:rsidRPr="005A1C6B" w:rsidRDefault="004E0612" w:rsidP="004E0612">
      <w:pPr>
        <w:pStyle w:val="Voetnoottekst"/>
        <w:rPr>
          <w:lang w:val="en-GB"/>
        </w:rPr>
      </w:pPr>
      <w:r>
        <w:rPr>
          <w:rStyle w:val="Voetnootmarkering"/>
        </w:rPr>
        <w:footnoteRef/>
      </w:r>
      <w:r w:rsidRPr="005A1C6B">
        <w:rPr>
          <w:lang w:val="en-GB"/>
        </w:rPr>
        <w:t xml:space="preserve"> </w:t>
      </w:r>
      <w:hyperlink r:id="rId3" w:history="1">
        <w:r w:rsidR="0094021C" w:rsidRPr="00DF30A4">
          <w:rPr>
            <w:rStyle w:val="Hyperlink"/>
            <w:lang w:val="en-US"/>
          </w:rPr>
          <w:t xml:space="preserve">Recommendation of the European Parliament and of the Council of 18 December 2006 on key competences for lifelong learning (2006/962/EC). </w:t>
        </w:r>
      </w:hyperlink>
      <w:r w:rsidR="0094021C" w:rsidRPr="00DF30A4">
        <w:rPr>
          <w:lang w:val="en-US"/>
        </w:rPr>
        <w:t xml:space="preserve"> </w:t>
      </w:r>
    </w:p>
  </w:footnote>
  <w:footnote w:id="5">
    <w:p w14:paraId="155E7A4D" w14:textId="77777777" w:rsidR="004E0612" w:rsidRPr="00DF30A4" w:rsidRDefault="004E0612" w:rsidP="00621A22">
      <w:pPr>
        <w:pStyle w:val="Voetnoottekst"/>
        <w:rPr>
          <w:lang w:val="en-US"/>
        </w:rPr>
      </w:pPr>
      <w:r>
        <w:rPr>
          <w:rStyle w:val="Voetnootmarkering"/>
        </w:rPr>
        <w:footnoteRef/>
      </w:r>
      <w:r w:rsidRPr="005A1C6B">
        <w:rPr>
          <w:lang w:val="en-GB"/>
        </w:rPr>
        <w:t xml:space="preserve"> </w:t>
      </w:r>
      <w:hyperlink r:id="rId4" w:history="1">
        <w:r w:rsidR="00621A22" w:rsidRPr="00DF30A4">
          <w:rPr>
            <w:rStyle w:val="Hyperlink"/>
            <w:bCs/>
            <w:lang w:val="en-US"/>
          </w:rPr>
          <w:t>Directive 2005/36/</w:t>
        </w:r>
        <w:proofErr w:type="spellStart"/>
        <w:r w:rsidR="00621A22" w:rsidRPr="00DF30A4">
          <w:rPr>
            <w:rStyle w:val="Hyperlink"/>
            <w:bCs/>
            <w:lang w:val="en-US"/>
          </w:rPr>
          <w:t>ec</w:t>
        </w:r>
        <w:proofErr w:type="spellEnd"/>
      </w:hyperlink>
      <w:r w:rsidR="00621A22" w:rsidRPr="00DF30A4">
        <w:rPr>
          <w:bCs/>
          <w:lang w:val="en-US"/>
        </w:rPr>
        <w:t xml:space="preserve"> of the </w:t>
      </w:r>
      <w:proofErr w:type="spellStart"/>
      <w:r w:rsidR="00621A22" w:rsidRPr="00DF30A4">
        <w:rPr>
          <w:bCs/>
          <w:lang w:val="en-US"/>
        </w:rPr>
        <w:t>european</w:t>
      </w:r>
      <w:proofErr w:type="spellEnd"/>
      <w:r w:rsidR="00621A22" w:rsidRPr="00DF30A4">
        <w:rPr>
          <w:bCs/>
          <w:lang w:val="en-US"/>
        </w:rPr>
        <w:t xml:space="preserve"> parliament and of the council </w:t>
      </w:r>
      <w:r w:rsidR="00621A22" w:rsidRPr="00DF30A4">
        <w:rPr>
          <w:lang w:val="en-US"/>
        </w:rPr>
        <w:t xml:space="preserve"> </w:t>
      </w:r>
      <w:r w:rsidR="00621A22" w:rsidRPr="00DF30A4">
        <w:rPr>
          <w:bCs/>
          <w:lang w:val="en-US"/>
        </w:rPr>
        <w:t>of 7 September 2005 on the recognition of professional qualifications</w:t>
      </w:r>
      <w:r w:rsidR="00621A22" w:rsidRPr="00DF30A4">
        <w:rPr>
          <w:b/>
          <w:bCs/>
          <w:lang w:val="en-US"/>
        </w:rPr>
        <w:t xml:space="preserve"> </w:t>
      </w:r>
      <w:r w:rsidR="00621A22" w:rsidRPr="005A1C6B">
        <w:rPr>
          <w:lang w:val="en-GB"/>
        </w:rPr>
        <w:t xml:space="preserve">and </w:t>
      </w:r>
      <w:hyperlink r:id="rId5" w:history="1">
        <w:r w:rsidR="00621A22" w:rsidRPr="005A1C6B">
          <w:rPr>
            <w:rStyle w:val="Hyperlink"/>
            <w:lang w:val="en-GB"/>
          </w:rPr>
          <w:t>EUNEC reaction</w:t>
        </w:r>
      </w:hyperlink>
      <w:r w:rsidR="00621A22" w:rsidRPr="005A1C6B">
        <w:rPr>
          <w:lang w:val="en-GB"/>
        </w:rPr>
        <w:t xml:space="preserve"> </w:t>
      </w:r>
    </w:p>
  </w:footnote>
  <w:footnote w:id="6">
    <w:p w14:paraId="648692AB" w14:textId="77777777" w:rsidR="00621A22" w:rsidRPr="00DF30A4" w:rsidRDefault="00621A22">
      <w:pPr>
        <w:pStyle w:val="Voetnoottekst"/>
        <w:rPr>
          <w:lang w:val="en-US"/>
        </w:rPr>
      </w:pPr>
      <w:r>
        <w:rPr>
          <w:rStyle w:val="Voetnootmarkering"/>
        </w:rPr>
        <w:footnoteRef/>
      </w:r>
      <w:r w:rsidRPr="005A1C6B">
        <w:rPr>
          <w:lang w:val="en-GB"/>
        </w:rPr>
        <w:t xml:space="preserve"> </w:t>
      </w:r>
      <w:r w:rsidRPr="00DF30A4">
        <w:rPr>
          <w:bCs/>
          <w:lang w:val="en-US"/>
        </w:rPr>
        <w:t xml:space="preserve">NARIC, National Academic (and professional) Recognition and Information Centre; ENIC, European Network of Information </w:t>
      </w:r>
      <w:proofErr w:type="spellStart"/>
      <w:r w:rsidRPr="00DF30A4">
        <w:rPr>
          <w:bCs/>
          <w:lang w:val="en-US"/>
        </w:rPr>
        <w:t>Centres</w:t>
      </w:r>
      <w:proofErr w:type="spellEnd"/>
      <w:r w:rsidRPr="00DF30A4">
        <w:rPr>
          <w:bCs/>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BD9" w14:textId="2BE241BE" w:rsidR="00487E84" w:rsidRDefault="00E63A9F" w:rsidP="00487E84">
    <w:pPr>
      <w:pStyle w:val="Koptekst"/>
    </w:pPr>
    <w:r>
      <w:tab/>
    </w:r>
    <w:r>
      <w:tab/>
      <w:t>EUN/2014/DOC/022</w:t>
    </w:r>
  </w:p>
  <w:p w14:paraId="6307D040" w14:textId="3A010947" w:rsidR="00487E84" w:rsidRDefault="00487E84" w:rsidP="00487E84">
    <w:pPr>
      <w:pStyle w:val="Koptekst"/>
    </w:pPr>
    <w:r>
      <w:tab/>
    </w:r>
    <w:r>
      <w:tab/>
    </w:r>
    <w:r w:rsidR="00E63A9F">
      <w:t xml:space="preserve">9 April </w:t>
    </w:r>
    <w:r>
      <w:t xml:space="preserve"> 2014</w:t>
    </w:r>
  </w:p>
  <w:p w14:paraId="3DCD2115" w14:textId="77777777" w:rsidR="00487E84" w:rsidRDefault="00487E84" w:rsidP="00487E84">
    <w:pPr>
      <w:pStyle w:val="Koptekst"/>
    </w:pPr>
  </w:p>
  <w:p w14:paraId="017B09CF" w14:textId="77777777" w:rsidR="00487E84" w:rsidRDefault="00487E84" w:rsidP="00487E8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3E"/>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nsid w:val="05C5793A"/>
    <w:multiLevelType w:val="multilevel"/>
    <w:tmpl w:val="2F1A7CA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3406DB"/>
    <w:multiLevelType w:val="hybridMultilevel"/>
    <w:tmpl w:val="CD0A9FA2"/>
    <w:lvl w:ilvl="0" w:tplc="F6FA95B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0BA6466"/>
    <w:multiLevelType w:val="hybridMultilevel"/>
    <w:tmpl w:val="FD4A8AA6"/>
    <w:lvl w:ilvl="0" w:tplc="92565F72">
      <w:start w:val="1"/>
      <w:numFmt w:val="lowerLetter"/>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2DF35CA"/>
    <w:multiLevelType w:val="hybridMultilevel"/>
    <w:tmpl w:val="0C6CF472"/>
    <w:lvl w:ilvl="0" w:tplc="4E6E48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BF44FC"/>
    <w:multiLevelType w:val="hybridMultilevel"/>
    <w:tmpl w:val="27E0079C"/>
    <w:lvl w:ilvl="0" w:tplc="912CE4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F926A3C"/>
    <w:multiLevelType w:val="hybridMultilevel"/>
    <w:tmpl w:val="FD4A8AA6"/>
    <w:lvl w:ilvl="0" w:tplc="92565F72">
      <w:start w:val="1"/>
      <w:numFmt w:val="lowerLetter"/>
      <w:lvlText w:val="%1."/>
      <w:lvlJc w:val="left"/>
      <w:pPr>
        <w:ind w:left="927"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24AC2640"/>
    <w:multiLevelType w:val="hybridMultilevel"/>
    <w:tmpl w:val="3B5CBDB4"/>
    <w:lvl w:ilvl="0" w:tplc="32E4B58C">
      <w:start w:val="2"/>
      <w:numFmt w:val="lowerLetter"/>
      <w:lvlText w:val="%1."/>
      <w:lvlJc w:val="left"/>
      <w:pPr>
        <w:ind w:left="1296" w:hanging="360"/>
      </w:pPr>
      <w:rPr>
        <w:rFonts w:hint="default"/>
      </w:rPr>
    </w:lvl>
    <w:lvl w:ilvl="1" w:tplc="08130019" w:tentative="1">
      <w:start w:val="1"/>
      <w:numFmt w:val="lowerLetter"/>
      <w:lvlText w:val="%2."/>
      <w:lvlJc w:val="left"/>
      <w:pPr>
        <w:ind w:left="2016"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8">
    <w:nsid w:val="25513B24"/>
    <w:multiLevelType w:val="hybridMultilevel"/>
    <w:tmpl w:val="AFF6E6A4"/>
    <w:lvl w:ilvl="0" w:tplc="E31E7116">
      <w:start w:val="1"/>
      <w:numFmt w:val="decimal"/>
      <w:lvlText w:val="%1."/>
      <w:lvlJc w:val="left"/>
      <w:pPr>
        <w:tabs>
          <w:tab w:val="num" w:pos="720"/>
        </w:tabs>
        <w:ind w:left="720" w:hanging="360"/>
      </w:pPr>
      <w:rPr>
        <w:rFonts w:hint="default"/>
      </w:rPr>
    </w:lvl>
    <w:lvl w:ilvl="1" w:tplc="D1C64C94">
      <w:numFmt w:val="none"/>
      <w:lvlText w:val=""/>
      <w:lvlJc w:val="left"/>
      <w:pPr>
        <w:tabs>
          <w:tab w:val="num" w:pos="360"/>
        </w:tabs>
      </w:pPr>
    </w:lvl>
    <w:lvl w:ilvl="2" w:tplc="1FFA2B0E">
      <w:numFmt w:val="none"/>
      <w:lvlText w:val=""/>
      <w:lvlJc w:val="left"/>
      <w:pPr>
        <w:tabs>
          <w:tab w:val="num" w:pos="360"/>
        </w:tabs>
      </w:pPr>
    </w:lvl>
    <w:lvl w:ilvl="3" w:tplc="FCE6B444">
      <w:numFmt w:val="none"/>
      <w:lvlText w:val=""/>
      <w:lvlJc w:val="left"/>
      <w:pPr>
        <w:tabs>
          <w:tab w:val="num" w:pos="360"/>
        </w:tabs>
      </w:pPr>
    </w:lvl>
    <w:lvl w:ilvl="4" w:tplc="2EF4B398">
      <w:numFmt w:val="none"/>
      <w:lvlText w:val=""/>
      <w:lvlJc w:val="left"/>
      <w:pPr>
        <w:tabs>
          <w:tab w:val="num" w:pos="360"/>
        </w:tabs>
      </w:pPr>
    </w:lvl>
    <w:lvl w:ilvl="5" w:tplc="4524D7A2">
      <w:numFmt w:val="none"/>
      <w:lvlText w:val=""/>
      <w:lvlJc w:val="left"/>
      <w:pPr>
        <w:tabs>
          <w:tab w:val="num" w:pos="360"/>
        </w:tabs>
      </w:pPr>
    </w:lvl>
    <w:lvl w:ilvl="6" w:tplc="22349F68">
      <w:numFmt w:val="none"/>
      <w:lvlText w:val=""/>
      <w:lvlJc w:val="left"/>
      <w:pPr>
        <w:tabs>
          <w:tab w:val="num" w:pos="360"/>
        </w:tabs>
      </w:pPr>
    </w:lvl>
    <w:lvl w:ilvl="7" w:tplc="F7483F76">
      <w:numFmt w:val="none"/>
      <w:lvlText w:val=""/>
      <w:lvlJc w:val="left"/>
      <w:pPr>
        <w:tabs>
          <w:tab w:val="num" w:pos="360"/>
        </w:tabs>
      </w:pPr>
    </w:lvl>
    <w:lvl w:ilvl="8" w:tplc="047442B0">
      <w:numFmt w:val="none"/>
      <w:lvlText w:val=""/>
      <w:lvlJc w:val="left"/>
      <w:pPr>
        <w:tabs>
          <w:tab w:val="num" w:pos="360"/>
        </w:tabs>
      </w:pPr>
    </w:lvl>
  </w:abstractNum>
  <w:abstractNum w:abstractNumId="9">
    <w:nsid w:val="298C1AD0"/>
    <w:multiLevelType w:val="hybridMultilevel"/>
    <w:tmpl w:val="9E3CFB70"/>
    <w:lvl w:ilvl="0" w:tplc="0813000F">
      <w:start w:val="1"/>
      <w:numFmt w:val="decimal"/>
      <w:lvlText w:val="%1."/>
      <w:lvlJc w:val="left"/>
      <w:pPr>
        <w:ind w:left="2016" w:hanging="360"/>
      </w:pPr>
    </w:lvl>
    <w:lvl w:ilvl="1" w:tplc="08130019" w:tentative="1">
      <w:start w:val="1"/>
      <w:numFmt w:val="lowerLetter"/>
      <w:lvlText w:val="%2."/>
      <w:lvlJc w:val="left"/>
      <w:pPr>
        <w:ind w:left="2736" w:hanging="360"/>
      </w:pPr>
    </w:lvl>
    <w:lvl w:ilvl="2" w:tplc="0813001B" w:tentative="1">
      <w:start w:val="1"/>
      <w:numFmt w:val="lowerRoman"/>
      <w:lvlText w:val="%3."/>
      <w:lvlJc w:val="right"/>
      <w:pPr>
        <w:ind w:left="3456" w:hanging="180"/>
      </w:pPr>
    </w:lvl>
    <w:lvl w:ilvl="3" w:tplc="0813000F" w:tentative="1">
      <w:start w:val="1"/>
      <w:numFmt w:val="decimal"/>
      <w:lvlText w:val="%4."/>
      <w:lvlJc w:val="left"/>
      <w:pPr>
        <w:ind w:left="4176" w:hanging="360"/>
      </w:pPr>
    </w:lvl>
    <w:lvl w:ilvl="4" w:tplc="08130019" w:tentative="1">
      <w:start w:val="1"/>
      <w:numFmt w:val="lowerLetter"/>
      <w:lvlText w:val="%5."/>
      <w:lvlJc w:val="left"/>
      <w:pPr>
        <w:ind w:left="4896" w:hanging="360"/>
      </w:pPr>
    </w:lvl>
    <w:lvl w:ilvl="5" w:tplc="0813001B" w:tentative="1">
      <w:start w:val="1"/>
      <w:numFmt w:val="lowerRoman"/>
      <w:lvlText w:val="%6."/>
      <w:lvlJc w:val="right"/>
      <w:pPr>
        <w:ind w:left="5616" w:hanging="180"/>
      </w:pPr>
    </w:lvl>
    <w:lvl w:ilvl="6" w:tplc="0813000F" w:tentative="1">
      <w:start w:val="1"/>
      <w:numFmt w:val="decimal"/>
      <w:lvlText w:val="%7."/>
      <w:lvlJc w:val="left"/>
      <w:pPr>
        <w:ind w:left="6336" w:hanging="360"/>
      </w:pPr>
    </w:lvl>
    <w:lvl w:ilvl="7" w:tplc="08130019" w:tentative="1">
      <w:start w:val="1"/>
      <w:numFmt w:val="lowerLetter"/>
      <w:lvlText w:val="%8."/>
      <w:lvlJc w:val="left"/>
      <w:pPr>
        <w:ind w:left="7056" w:hanging="360"/>
      </w:pPr>
    </w:lvl>
    <w:lvl w:ilvl="8" w:tplc="0813001B" w:tentative="1">
      <w:start w:val="1"/>
      <w:numFmt w:val="lowerRoman"/>
      <w:lvlText w:val="%9."/>
      <w:lvlJc w:val="right"/>
      <w:pPr>
        <w:ind w:left="7776" w:hanging="180"/>
      </w:pPr>
    </w:lvl>
  </w:abstractNum>
  <w:abstractNum w:abstractNumId="10">
    <w:nsid w:val="2D4E396B"/>
    <w:multiLevelType w:val="hybridMultilevel"/>
    <w:tmpl w:val="D51ACDE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02B1371"/>
    <w:multiLevelType w:val="hybridMultilevel"/>
    <w:tmpl w:val="C6D68BE2"/>
    <w:lvl w:ilvl="0" w:tplc="FB2460CE">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nsid w:val="310C52C9"/>
    <w:multiLevelType w:val="multilevel"/>
    <w:tmpl w:val="3C04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834CC4"/>
    <w:multiLevelType w:val="hybridMultilevel"/>
    <w:tmpl w:val="87C868D2"/>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A0178B2"/>
    <w:multiLevelType w:val="hybridMultilevel"/>
    <w:tmpl w:val="32D467A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B835B5C"/>
    <w:multiLevelType w:val="multilevel"/>
    <w:tmpl w:val="2F1A7CA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0F0048E"/>
    <w:multiLevelType w:val="hybridMultilevel"/>
    <w:tmpl w:val="C3D206A6"/>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8301C78"/>
    <w:multiLevelType w:val="hybridMultilevel"/>
    <w:tmpl w:val="E2C05E9A"/>
    <w:lvl w:ilvl="0" w:tplc="97E23BD0">
      <w:start w:val="1"/>
      <w:numFmt w:val="bullet"/>
      <w:lvlText w:val="•"/>
      <w:lvlJc w:val="left"/>
      <w:pPr>
        <w:tabs>
          <w:tab w:val="num" w:pos="720"/>
        </w:tabs>
        <w:ind w:left="720" w:hanging="360"/>
      </w:pPr>
      <w:rPr>
        <w:rFonts w:ascii="Arial" w:hAnsi="Arial" w:hint="default"/>
      </w:rPr>
    </w:lvl>
    <w:lvl w:ilvl="1" w:tplc="E6DAFF68" w:tentative="1">
      <w:start w:val="1"/>
      <w:numFmt w:val="bullet"/>
      <w:lvlText w:val="•"/>
      <w:lvlJc w:val="left"/>
      <w:pPr>
        <w:tabs>
          <w:tab w:val="num" w:pos="1440"/>
        </w:tabs>
        <w:ind w:left="1440" w:hanging="360"/>
      </w:pPr>
      <w:rPr>
        <w:rFonts w:ascii="Arial" w:hAnsi="Arial" w:hint="default"/>
      </w:rPr>
    </w:lvl>
    <w:lvl w:ilvl="2" w:tplc="E5582610" w:tentative="1">
      <w:start w:val="1"/>
      <w:numFmt w:val="bullet"/>
      <w:lvlText w:val="•"/>
      <w:lvlJc w:val="left"/>
      <w:pPr>
        <w:tabs>
          <w:tab w:val="num" w:pos="2160"/>
        </w:tabs>
        <w:ind w:left="2160" w:hanging="360"/>
      </w:pPr>
      <w:rPr>
        <w:rFonts w:ascii="Arial" w:hAnsi="Arial" w:hint="default"/>
      </w:rPr>
    </w:lvl>
    <w:lvl w:ilvl="3" w:tplc="9A3423AC" w:tentative="1">
      <w:start w:val="1"/>
      <w:numFmt w:val="bullet"/>
      <w:lvlText w:val="•"/>
      <w:lvlJc w:val="left"/>
      <w:pPr>
        <w:tabs>
          <w:tab w:val="num" w:pos="2880"/>
        </w:tabs>
        <w:ind w:left="2880" w:hanging="360"/>
      </w:pPr>
      <w:rPr>
        <w:rFonts w:ascii="Arial" w:hAnsi="Arial" w:hint="default"/>
      </w:rPr>
    </w:lvl>
    <w:lvl w:ilvl="4" w:tplc="E4BC7FB0" w:tentative="1">
      <w:start w:val="1"/>
      <w:numFmt w:val="bullet"/>
      <w:lvlText w:val="•"/>
      <w:lvlJc w:val="left"/>
      <w:pPr>
        <w:tabs>
          <w:tab w:val="num" w:pos="3600"/>
        </w:tabs>
        <w:ind w:left="3600" w:hanging="360"/>
      </w:pPr>
      <w:rPr>
        <w:rFonts w:ascii="Arial" w:hAnsi="Arial" w:hint="default"/>
      </w:rPr>
    </w:lvl>
    <w:lvl w:ilvl="5" w:tplc="040A3C0A" w:tentative="1">
      <w:start w:val="1"/>
      <w:numFmt w:val="bullet"/>
      <w:lvlText w:val="•"/>
      <w:lvlJc w:val="left"/>
      <w:pPr>
        <w:tabs>
          <w:tab w:val="num" w:pos="4320"/>
        </w:tabs>
        <w:ind w:left="4320" w:hanging="360"/>
      </w:pPr>
      <w:rPr>
        <w:rFonts w:ascii="Arial" w:hAnsi="Arial" w:hint="default"/>
      </w:rPr>
    </w:lvl>
    <w:lvl w:ilvl="6" w:tplc="B34AA998" w:tentative="1">
      <w:start w:val="1"/>
      <w:numFmt w:val="bullet"/>
      <w:lvlText w:val="•"/>
      <w:lvlJc w:val="left"/>
      <w:pPr>
        <w:tabs>
          <w:tab w:val="num" w:pos="5040"/>
        </w:tabs>
        <w:ind w:left="5040" w:hanging="360"/>
      </w:pPr>
      <w:rPr>
        <w:rFonts w:ascii="Arial" w:hAnsi="Arial" w:hint="default"/>
      </w:rPr>
    </w:lvl>
    <w:lvl w:ilvl="7" w:tplc="D858513A" w:tentative="1">
      <w:start w:val="1"/>
      <w:numFmt w:val="bullet"/>
      <w:lvlText w:val="•"/>
      <w:lvlJc w:val="left"/>
      <w:pPr>
        <w:tabs>
          <w:tab w:val="num" w:pos="5760"/>
        </w:tabs>
        <w:ind w:left="5760" w:hanging="360"/>
      </w:pPr>
      <w:rPr>
        <w:rFonts w:ascii="Arial" w:hAnsi="Arial" w:hint="default"/>
      </w:rPr>
    </w:lvl>
    <w:lvl w:ilvl="8" w:tplc="A3A6B922" w:tentative="1">
      <w:start w:val="1"/>
      <w:numFmt w:val="bullet"/>
      <w:lvlText w:val="•"/>
      <w:lvlJc w:val="left"/>
      <w:pPr>
        <w:tabs>
          <w:tab w:val="num" w:pos="6480"/>
        </w:tabs>
        <w:ind w:left="6480" w:hanging="360"/>
      </w:pPr>
      <w:rPr>
        <w:rFonts w:ascii="Arial" w:hAnsi="Arial" w:hint="default"/>
      </w:rPr>
    </w:lvl>
  </w:abstractNum>
  <w:abstractNum w:abstractNumId="18">
    <w:nsid w:val="49A878B0"/>
    <w:multiLevelType w:val="hybridMultilevel"/>
    <w:tmpl w:val="45B460DA"/>
    <w:lvl w:ilvl="0" w:tplc="9C6A01B2">
      <w:start w:val="2"/>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4A404419"/>
    <w:multiLevelType w:val="hybridMultilevel"/>
    <w:tmpl w:val="7C6A74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08C4786"/>
    <w:multiLevelType w:val="hybridMultilevel"/>
    <w:tmpl w:val="D958B108"/>
    <w:lvl w:ilvl="0" w:tplc="CC1E3502">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18F1E25"/>
    <w:multiLevelType w:val="hybridMultilevel"/>
    <w:tmpl w:val="554CA6FC"/>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56541F75"/>
    <w:multiLevelType w:val="hybridMultilevel"/>
    <w:tmpl w:val="FD4A8AA6"/>
    <w:lvl w:ilvl="0" w:tplc="92565F72">
      <w:start w:val="1"/>
      <w:numFmt w:val="lowerLetter"/>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nsid w:val="568B4990"/>
    <w:multiLevelType w:val="hybridMultilevel"/>
    <w:tmpl w:val="B358ADF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A9421EB"/>
    <w:multiLevelType w:val="hybridMultilevel"/>
    <w:tmpl w:val="4E2A3B46"/>
    <w:lvl w:ilvl="0" w:tplc="A162A91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D815C87"/>
    <w:multiLevelType w:val="hybridMultilevel"/>
    <w:tmpl w:val="4828888A"/>
    <w:lvl w:ilvl="0" w:tplc="472816FA">
      <w:start w:val="1"/>
      <w:numFmt w:val="bullet"/>
      <w:lvlText w:val=""/>
      <w:lvlJc w:val="left"/>
      <w:pPr>
        <w:ind w:left="720" w:hanging="360"/>
      </w:pPr>
      <w:rPr>
        <w:rFonts w:ascii="Symbol" w:hAnsi="Symbol" w:hint="default"/>
      </w:rPr>
    </w:lvl>
    <w:lvl w:ilvl="1" w:tplc="BDC26B94">
      <w:numFmt w:val="bullet"/>
      <w:lvlText w:val="-"/>
      <w:lvlJc w:val="left"/>
      <w:pPr>
        <w:ind w:left="1440" w:hanging="360"/>
      </w:pPr>
      <w:rPr>
        <w:rFonts w:ascii="Verdana" w:eastAsiaTheme="minorHAnsi" w:hAnsi="Verdana"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36F77FE"/>
    <w:multiLevelType w:val="multilevel"/>
    <w:tmpl w:val="A3DEEA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3BB3FF6"/>
    <w:multiLevelType w:val="hybridMultilevel"/>
    <w:tmpl w:val="EC8AE8A0"/>
    <w:lvl w:ilvl="0" w:tplc="472816F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41B2F44"/>
    <w:multiLevelType w:val="hybridMultilevel"/>
    <w:tmpl w:val="58A297C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6D01141"/>
    <w:multiLevelType w:val="hybridMultilevel"/>
    <w:tmpl w:val="04A6C350"/>
    <w:lvl w:ilvl="0" w:tplc="1F2073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5266B9"/>
    <w:multiLevelType w:val="hybridMultilevel"/>
    <w:tmpl w:val="F214939E"/>
    <w:lvl w:ilvl="0" w:tplc="CAB6613E">
      <w:start w:val="1"/>
      <w:numFmt w:val="lowerLetter"/>
      <w:lvlText w:val="%1."/>
      <w:lvlJc w:val="left"/>
      <w:pPr>
        <w:ind w:left="1211"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nsid w:val="74702C15"/>
    <w:multiLevelType w:val="hybridMultilevel"/>
    <w:tmpl w:val="06AA27CC"/>
    <w:lvl w:ilvl="0" w:tplc="D270B7B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5285840"/>
    <w:multiLevelType w:val="hybridMultilevel"/>
    <w:tmpl w:val="8F46F3A4"/>
    <w:lvl w:ilvl="0" w:tplc="6928B3AC">
      <w:start w:val="1"/>
      <w:numFmt w:val="bullet"/>
      <w:lvlText w:val="•"/>
      <w:lvlJc w:val="left"/>
      <w:pPr>
        <w:tabs>
          <w:tab w:val="num" w:pos="720"/>
        </w:tabs>
        <w:ind w:left="720" w:hanging="360"/>
      </w:pPr>
      <w:rPr>
        <w:rFonts w:ascii="Arial" w:hAnsi="Arial" w:hint="default"/>
      </w:rPr>
    </w:lvl>
    <w:lvl w:ilvl="1" w:tplc="4BC06C36" w:tentative="1">
      <w:start w:val="1"/>
      <w:numFmt w:val="bullet"/>
      <w:lvlText w:val="•"/>
      <w:lvlJc w:val="left"/>
      <w:pPr>
        <w:tabs>
          <w:tab w:val="num" w:pos="1440"/>
        </w:tabs>
        <w:ind w:left="1440" w:hanging="360"/>
      </w:pPr>
      <w:rPr>
        <w:rFonts w:ascii="Arial" w:hAnsi="Arial" w:hint="default"/>
      </w:rPr>
    </w:lvl>
    <w:lvl w:ilvl="2" w:tplc="CB96F91C" w:tentative="1">
      <w:start w:val="1"/>
      <w:numFmt w:val="bullet"/>
      <w:lvlText w:val="•"/>
      <w:lvlJc w:val="left"/>
      <w:pPr>
        <w:tabs>
          <w:tab w:val="num" w:pos="2160"/>
        </w:tabs>
        <w:ind w:left="2160" w:hanging="360"/>
      </w:pPr>
      <w:rPr>
        <w:rFonts w:ascii="Arial" w:hAnsi="Arial" w:hint="default"/>
      </w:rPr>
    </w:lvl>
    <w:lvl w:ilvl="3" w:tplc="65A85372" w:tentative="1">
      <w:start w:val="1"/>
      <w:numFmt w:val="bullet"/>
      <w:lvlText w:val="•"/>
      <w:lvlJc w:val="left"/>
      <w:pPr>
        <w:tabs>
          <w:tab w:val="num" w:pos="2880"/>
        </w:tabs>
        <w:ind w:left="2880" w:hanging="360"/>
      </w:pPr>
      <w:rPr>
        <w:rFonts w:ascii="Arial" w:hAnsi="Arial" w:hint="default"/>
      </w:rPr>
    </w:lvl>
    <w:lvl w:ilvl="4" w:tplc="8E62F04C" w:tentative="1">
      <w:start w:val="1"/>
      <w:numFmt w:val="bullet"/>
      <w:lvlText w:val="•"/>
      <w:lvlJc w:val="left"/>
      <w:pPr>
        <w:tabs>
          <w:tab w:val="num" w:pos="3600"/>
        </w:tabs>
        <w:ind w:left="3600" w:hanging="360"/>
      </w:pPr>
      <w:rPr>
        <w:rFonts w:ascii="Arial" w:hAnsi="Arial" w:hint="default"/>
      </w:rPr>
    </w:lvl>
    <w:lvl w:ilvl="5" w:tplc="15A2630E" w:tentative="1">
      <w:start w:val="1"/>
      <w:numFmt w:val="bullet"/>
      <w:lvlText w:val="•"/>
      <w:lvlJc w:val="left"/>
      <w:pPr>
        <w:tabs>
          <w:tab w:val="num" w:pos="4320"/>
        </w:tabs>
        <w:ind w:left="4320" w:hanging="360"/>
      </w:pPr>
      <w:rPr>
        <w:rFonts w:ascii="Arial" w:hAnsi="Arial" w:hint="default"/>
      </w:rPr>
    </w:lvl>
    <w:lvl w:ilvl="6" w:tplc="A31299FC" w:tentative="1">
      <w:start w:val="1"/>
      <w:numFmt w:val="bullet"/>
      <w:lvlText w:val="•"/>
      <w:lvlJc w:val="left"/>
      <w:pPr>
        <w:tabs>
          <w:tab w:val="num" w:pos="5040"/>
        </w:tabs>
        <w:ind w:left="5040" w:hanging="360"/>
      </w:pPr>
      <w:rPr>
        <w:rFonts w:ascii="Arial" w:hAnsi="Arial" w:hint="default"/>
      </w:rPr>
    </w:lvl>
    <w:lvl w:ilvl="7" w:tplc="BEC41D3E" w:tentative="1">
      <w:start w:val="1"/>
      <w:numFmt w:val="bullet"/>
      <w:lvlText w:val="•"/>
      <w:lvlJc w:val="left"/>
      <w:pPr>
        <w:tabs>
          <w:tab w:val="num" w:pos="5760"/>
        </w:tabs>
        <w:ind w:left="5760" w:hanging="360"/>
      </w:pPr>
      <w:rPr>
        <w:rFonts w:ascii="Arial" w:hAnsi="Arial" w:hint="default"/>
      </w:rPr>
    </w:lvl>
    <w:lvl w:ilvl="8" w:tplc="15E09536" w:tentative="1">
      <w:start w:val="1"/>
      <w:numFmt w:val="bullet"/>
      <w:lvlText w:val="•"/>
      <w:lvlJc w:val="left"/>
      <w:pPr>
        <w:tabs>
          <w:tab w:val="num" w:pos="6480"/>
        </w:tabs>
        <w:ind w:left="6480" w:hanging="360"/>
      </w:pPr>
      <w:rPr>
        <w:rFonts w:ascii="Arial" w:hAnsi="Arial" w:hint="default"/>
      </w:rPr>
    </w:lvl>
  </w:abstractNum>
  <w:abstractNum w:abstractNumId="33">
    <w:nsid w:val="76074071"/>
    <w:multiLevelType w:val="hybridMultilevel"/>
    <w:tmpl w:val="DD468A72"/>
    <w:lvl w:ilvl="0" w:tplc="472816F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B8B4504"/>
    <w:multiLevelType w:val="hybridMultilevel"/>
    <w:tmpl w:val="C82E117E"/>
    <w:lvl w:ilvl="0" w:tplc="9564876C">
      <w:start w:val="1"/>
      <w:numFmt w:val="bullet"/>
      <w:lvlText w:val="•"/>
      <w:lvlJc w:val="left"/>
      <w:pPr>
        <w:tabs>
          <w:tab w:val="num" w:pos="720"/>
        </w:tabs>
        <w:ind w:left="720" w:hanging="360"/>
      </w:pPr>
      <w:rPr>
        <w:rFonts w:ascii="Arial" w:hAnsi="Arial" w:hint="default"/>
      </w:rPr>
    </w:lvl>
    <w:lvl w:ilvl="1" w:tplc="B06EDF36">
      <w:start w:val="556"/>
      <w:numFmt w:val="bullet"/>
      <w:lvlText w:val="–"/>
      <w:lvlJc w:val="left"/>
      <w:pPr>
        <w:tabs>
          <w:tab w:val="num" w:pos="1440"/>
        </w:tabs>
        <w:ind w:left="1440" w:hanging="360"/>
      </w:pPr>
      <w:rPr>
        <w:rFonts w:ascii="Arial" w:hAnsi="Arial" w:hint="default"/>
      </w:rPr>
    </w:lvl>
    <w:lvl w:ilvl="2" w:tplc="BDC60B16" w:tentative="1">
      <w:start w:val="1"/>
      <w:numFmt w:val="bullet"/>
      <w:lvlText w:val="•"/>
      <w:lvlJc w:val="left"/>
      <w:pPr>
        <w:tabs>
          <w:tab w:val="num" w:pos="2160"/>
        </w:tabs>
        <w:ind w:left="2160" w:hanging="360"/>
      </w:pPr>
      <w:rPr>
        <w:rFonts w:ascii="Arial" w:hAnsi="Arial" w:hint="default"/>
      </w:rPr>
    </w:lvl>
    <w:lvl w:ilvl="3" w:tplc="AC5849B0" w:tentative="1">
      <w:start w:val="1"/>
      <w:numFmt w:val="bullet"/>
      <w:lvlText w:val="•"/>
      <w:lvlJc w:val="left"/>
      <w:pPr>
        <w:tabs>
          <w:tab w:val="num" w:pos="2880"/>
        </w:tabs>
        <w:ind w:left="2880" w:hanging="360"/>
      </w:pPr>
      <w:rPr>
        <w:rFonts w:ascii="Arial" w:hAnsi="Arial" w:hint="default"/>
      </w:rPr>
    </w:lvl>
    <w:lvl w:ilvl="4" w:tplc="31D05314" w:tentative="1">
      <w:start w:val="1"/>
      <w:numFmt w:val="bullet"/>
      <w:lvlText w:val="•"/>
      <w:lvlJc w:val="left"/>
      <w:pPr>
        <w:tabs>
          <w:tab w:val="num" w:pos="3600"/>
        </w:tabs>
        <w:ind w:left="3600" w:hanging="360"/>
      </w:pPr>
      <w:rPr>
        <w:rFonts w:ascii="Arial" w:hAnsi="Arial" w:hint="default"/>
      </w:rPr>
    </w:lvl>
    <w:lvl w:ilvl="5" w:tplc="7A76892E" w:tentative="1">
      <w:start w:val="1"/>
      <w:numFmt w:val="bullet"/>
      <w:lvlText w:val="•"/>
      <w:lvlJc w:val="left"/>
      <w:pPr>
        <w:tabs>
          <w:tab w:val="num" w:pos="4320"/>
        </w:tabs>
        <w:ind w:left="4320" w:hanging="360"/>
      </w:pPr>
      <w:rPr>
        <w:rFonts w:ascii="Arial" w:hAnsi="Arial" w:hint="default"/>
      </w:rPr>
    </w:lvl>
    <w:lvl w:ilvl="6" w:tplc="215E5B9E" w:tentative="1">
      <w:start w:val="1"/>
      <w:numFmt w:val="bullet"/>
      <w:lvlText w:val="•"/>
      <w:lvlJc w:val="left"/>
      <w:pPr>
        <w:tabs>
          <w:tab w:val="num" w:pos="5040"/>
        </w:tabs>
        <w:ind w:left="5040" w:hanging="360"/>
      </w:pPr>
      <w:rPr>
        <w:rFonts w:ascii="Arial" w:hAnsi="Arial" w:hint="default"/>
      </w:rPr>
    </w:lvl>
    <w:lvl w:ilvl="7" w:tplc="2BE0B3BC" w:tentative="1">
      <w:start w:val="1"/>
      <w:numFmt w:val="bullet"/>
      <w:lvlText w:val="•"/>
      <w:lvlJc w:val="left"/>
      <w:pPr>
        <w:tabs>
          <w:tab w:val="num" w:pos="5760"/>
        </w:tabs>
        <w:ind w:left="5760" w:hanging="360"/>
      </w:pPr>
      <w:rPr>
        <w:rFonts w:ascii="Arial" w:hAnsi="Arial" w:hint="default"/>
      </w:rPr>
    </w:lvl>
    <w:lvl w:ilvl="8" w:tplc="CC60164C" w:tentative="1">
      <w:start w:val="1"/>
      <w:numFmt w:val="bullet"/>
      <w:lvlText w:val="•"/>
      <w:lvlJc w:val="left"/>
      <w:pPr>
        <w:tabs>
          <w:tab w:val="num" w:pos="6480"/>
        </w:tabs>
        <w:ind w:left="6480" w:hanging="360"/>
      </w:pPr>
      <w:rPr>
        <w:rFonts w:ascii="Arial" w:hAnsi="Arial" w:hint="default"/>
      </w:rPr>
    </w:lvl>
  </w:abstractNum>
  <w:abstractNum w:abstractNumId="35">
    <w:nsid w:val="7CA51F2C"/>
    <w:multiLevelType w:val="hybridMultilevel"/>
    <w:tmpl w:val="B448AD7E"/>
    <w:lvl w:ilvl="0" w:tplc="08130001">
      <w:start w:val="1"/>
      <w:numFmt w:val="bullet"/>
      <w:lvlText w:val=""/>
      <w:lvlJc w:val="left"/>
      <w:pPr>
        <w:ind w:left="1656" w:hanging="720"/>
      </w:pPr>
      <w:rPr>
        <w:rFonts w:ascii="Symbol" w:hAnsi="Symbol" w:hint="default"/>
      </w:rPr>
    </w:lvl>
    <w:lvl w:ilvl="1" w:tplc="08130019">
      <w:start w:val="1"/>
      <w:numFmt w:val="lowerLetter"/>
      <w:lvlText w:val="%2."/>
      <w:lvlJc w:val="left"/>
      <w:pPr>
        <w:ind w:left="2345"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36">
    <w:nsid w:val="7E5F4E32"/>
    <w:multiLevelType w:val="hybridMultilevel"/>
    <w:tmpl w:val="1DB868C8"/>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2"/>
  </w:num>
  <w:num w:numId="4">
    <w:abstractNumId w:val="17"/>
  </w:num>
  <w:num w:numId="5">
    <w:abstractNumId w:val="31"/>
  </w:num>
  <w:num w:numId="6">
    <w:abstractNumId w:val="2"/>
  </w:num>
  <w:num w:numId="7">
    <w:abstractNumId w:val="35"/>
  </w:num>
  <w:num w:numId="8">
    <w:abstractNumId w:val="9"/>
  </w:num>
  <w:num w:numId="9">
    <w:abstractNumId w:val="18"/>
  </w:num>
  <w:num w:numId="10">
    <w:abstractNumId w:val="3"/>
  </w:num>
  <w:num w:numId="11">
    <w:abstractNumId w:val="6"/>
  </w:num>
  <w:num w:numId="12">
    <w:abstractNumId w:val="12"/>
  </w:num>
  <w:num w:numId="13">
    <w:abstractNumId w:val="34"/>
  </w:num>
  <w:num w:numId="14">
    <w:abstractNumId w:val="30"/>
  </w:num>
  <w:num w:numId="15">
    <w:abstractNumId w:val="22"/>
  </w:num>
  <w:num w:numId="16">
    <w:abstractNumId w:val="7"/>
  </w:num>
  <w:num w:numId="17">
    <w:abstractNumId w:val="13"/>
  </w:num>
  <w:num w:numId="18">
    <w:abstractNumId w:val="0"/>
  </w:num>
  <w:num w:numId="19">
    <w:abstractNumId w:val="11"/>
  </w:num>
  <w:num w:numId="20">
    <w:abstractNumId w:val="25"/>
  </w:num>
  <w:num w:numId="21">
    <w:abstractNumId w:val="36"/>
  </w:num>
  <w:num w:numId="22">
    <w:abstractNumId w:val="27"/>
  </w:num>
  <w:num w:numId="23">
    <w:abstractNumId w:val="33"/>
  </w:num>
  <w:num w:numId="24">
    <w:abstractNumId w:val="16"/>
  </w:num>
  <w:num w:numId="25">
    <w:abstractNumId w:val="29"/>
  </w:num>
  <w:num w:numId="26">
    <w:abstractNumId w:val="15"/>
  </w:num>
  <w:num w:numId="27">
    <w:abstractNumId w:val="1"/>
  </w:num>
  <w:num w:numId="28">
    <w:abstractNumId w:val="20"/>
  </w:num>
  <w:num w:numId="29">
    <w:abstractNumId w:val="0"/>
  </w:num>
  <w:num w:numId="30">
    <w:abstractNumId w:val="0"/>
  </w:num>
  <w:num w:numId="31">
    <w:abstractNumId w:val="24"/>
  </w:num>
  <w:num w:numId="32">
    <w:abstractNumId w:val="0"/>
  </w:num>
  <w:num w:numId="33">
    <w:abstractNumId w:val="19"/>
  </w:num>
  <w:num w:numId="34">
    <w:abstractNumId w:val="10"/>
  </w:num>
  <w:num w:numId="35">
    <w:abstractNumId w:val="5"/>
  </w:num>
  <w:num w:numId="36">
    <w:abstractNumId w:val="23"/>
  </w:num>
  <w:num w:numId="37">
    <w:abstractNumId w:val="26"/>
  </w:num>
  <w:num w:numId="38">
    <w:abstractNumId w:val="21"/>
  </w:num>
  <w:num w:numId="39">
    <w:abstractNumId w:val="28"/>
  </w:num>
  <w:num w:numId="40">
    <w:abstractNumId w:val="1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9B"/>
    <w:rsid w:val="00005C21"/>
    <w:rsid w:val="000060E6"/>
    <w:rsid w:val="00013FFC"/>
    <w:rsid w:val="000261B8"/>
    <w:rsid w:val="00027D1B"/>
    <w:rsid w:val="00030223"/>
    <w:rsid w:val="0004444D"/>
    <w:rsid w:val="00044C66"/>
    <w:rsid w:val="00050D63"/>
    <w:rsid w:val="0005178B"/>
    <w:rsid w:val="00060533"/>
    <w:rsid w:val="00062EB2"/>
    <w:rsid w:val="00070CB9"/>
    <w:rsid w:val="0007701E"/>
    <w:rsid w:val="00082573"/>
    <w:rsid w:val="00090F8E"/>
    <w:rsid w:val="00091876"/>
    <w:rsid w:val="000A0C2B"/>
    <w:rsid w:val="000A2527"/>
    <w:rsid w:val="000B40BC"/>
    <w:rsid w:val="000B4F02"/>
    <w:rsid w:val="000D2A8C"/>
    <w:rsid w:val="000F1813"/>
    <w:rsid w:val="000F2DFF"/>
    <w:rsid w:val="000F5B35"/>
    <w:rsid w:val="00101636"/>
    <w:rsid w:val="001074BD"/>
    <w:rsid w:val="00112810"/>
    <w:rsid w:val="00115FA5"/>
    <w:rsid w:val="001323AC"/>
    <w:rsid w:val="00134EAD"/>
    <w:rsid w:val="001365A1"/>
    <w:rsid w:val="00144B1E"/>
    <w:rsid w:val="00153079"/>
    <w:rsid w:val="00160904"/>
    <w:rsid w:val="00160A0C"/>
    <w:rsid w:val="00161279"/>
    <w:rsid w:val="001638FA"/>
    <w:rsid w:val="0017369A"/>
    <w:rsid w:val="00173952"/>
    <w:rsid w:val="00175A46"/>
    <w:rsid w:val="00196A90"/>
    <w:rsid w:val="001B26CB"/>
    <w:rsid w:val="001B26F8"/>
    <w:rsid w:val="001B5DE4"/>
    <w:rsid w:val="001C6381"/>
    <w:rsid w:val="001D1519"/>
    <w:rsid w:val="001E09D1"/>
    <w:rsid w:val="001E56B0"/>
    <w:rsid w:val="001E690D"/>
    <w:rsid w:val="001E6F8B"/>
    <w:rsid w:val="001F0A23"/>
    <w:rsid w:val="001F5644"/>
    <w:rsid w:val="002033E4"/>
    <w:rsid w:val="0020614B"/>
    <w:rsid w:val="00211FB1"/>
    <w:rsid w:val="0022174C"/>
    <w:rsid w:val="00224E77"/>
    <w:rsid w:val="002443A6"/>
    <w:rsid w:val="00246D69"/>
    <w:rsid w:val="0025133A"/>
    <w:rsid w:val="00255DBD"/>
    <w:rsid w:val="0026306F"/>
    <w:rsid w:val="00264F1F"/>
    <w:rsid w:val="00294358"/>
    <w:rsid w:val="002A23AE"/>
    <w:rsid w:val="002A281C"/>
    <w:rsid w:val="002A3570"/>
    <w:rsid w:val="002A53A6"/>
    <w:rsid w:val="002A755A"/>
    <w:rsid w:val="002C6F70"/>
    <w:rsid w:val="002D096B"/>
    <w:rsid w:val="002D0E76"/>
    <w:rsid w:val="002D0FB8"/>
    <w:rsid w:val="002E3352"/>
    <w:rsid w:val="0030011C"/>
    <w:rsid w:val="00304C97"/>
    <w:rsid w:val="00311E84"/>
    <w:rsid w:val="00314E15"/>
    <w:rsid w:val="00324652"/>
    <w:rsid w:val="00325BE3"/>
    <w:rsid w:val="0032604E"/>
    <w:rsid w:val="00344540"/>
    <w:rsid w:val="00351CFB"/>
    <w:rsid w:val="00351D1E"/>
    <w:rsid w:val="00363691"/>
    <w:rsid w:val="00367496"/>
    <w:rsid w:val="00370427"/>
    <w:rsid w:val="00375A19"/>
    <w:rsid w:val="00375E9D"/>
    <w:rsid w:val="00392391"/>
    <w:rsid w:val="00394048"/>
    <w:rsid w:val="003965C9"/>
    <w:rsid w:val="003A7909"/>
    <w:rsid w:val="003B7C7B"/>
    <w:rsid w:val="003C0847"/>
    <w:rsid w:val="003D78EA"/>
    <w:rsid w:val="003D7DED"/>
    <w:rsid w:val="003F52B0"/>
    <w:rsid w:val="004035DF"/>
    <w:rsid w:val="004160EC"/>
    <w:rsid w:val="004202AE"/>
    <w:rsid w:val="004213BE"/>
    <w:rsid w:val="00422B70"/>
    <w:rsid w:val="00446228"/>
    <w:rsid w:val="00447975"/>
    <w:rsid w:val="0045236C"/>
    <w:rsid w:val="00452987"/>
    <w:rsid w:val="00462986"/>
    <w:rsid w:val="00474EF8"/>
    <w:rsid w:val="00487E84"/>
    <w:rsid w:val="00494BE5"/>
    <w:rsid w:val="004972EE"/>
    <w:rsid w:val="004A622B"/>
    <w:rsid w:val="004A67C2"/>
    <w:rsid w:val="004B515A"/>
    <w:rsid w:val="004B7DD6"/>
    <w:rsid w:val="004C15FF"/>
    <w:rsid w:val="004C2B69"/>
    <w:rsid w:val="004D5C70"/>
    <w:rsid w:val="004D642A"/>
    <w:rsid w:val="004E0612"/>
    <w:rsid w:val="004E5DA1"/>
    <w:rsid w:val="004F7D05"/>
    <w:rsid w:val="00501D48"/>
    <w:rsid w:val="005026D3"/>
    <w:rsid w:val="00507448"/>
    <w:rsid w:val="00507A8D"/>
    <w:rsid w:val="005308A8"/>
    <w:rsid w:val="005407A9"/>
    <w:rsid w:val="005527C0"/>
    <w:rsid w:val="00553DA9"/>
    <w:rsid w:val="005565EA"/>
    <w:rsid w:val="005606AB"/>
    <w:rsid w:val="00563F84"/>
    <w:rsid w:val="00575D7E"/>
    <w:rsid w:val="00577601"/>
    <w:rsid w:val="00580E0E"/>
    <w:rsid w:val="00582A50"/>
    <w:rsid w:val="00583C12"/>
    <w:rsid w:val="005849A2"/>
    <w:rsid w:val="005A1C6B"/>
    <w:rsid w:val="005A4197"/>
    <w:rsid w:val="005A5A3F"/>
    <w:rsid w:val="005A7162"/>
    <w:rsid w:val="005B082D"/>
    <w:rsid w:val="005B7669"/>
    <w:rsid w:val="005C1BA9"/>
    <w:rsid w:val="005C21D4"/>
    <w:rsid w:val="005C6104"/>
    <w:rsid w:val="005D00DC"/>
    <w:rsid w:val="005D16E0"/>
    <w:rsid w:val="005D67B1"/>
    <w:rsid w:val="005D69F5"/>
    <w:rsid w:val="005F0A19"/>
    <w:rsid w:val="005F2F9F"/>
    <w:rsid w:val="005F616F"/>
    <w:rsid w:val="00603B87"/>
    <w:rsid w:val="00603E07"/>
    <w:rsid w:val="006052BB"/>
    <w:rsid w:val="006103E0"/>
    <w:rsid w:val="00616A92"/>
    <w:rsid w:val="00617310"/>
    <w:rsid w:val="0062181A"/>
    <w:rsid w:val="00621A22"/>
    <w:rsid w:val="006264F1"/>
    <w:rsid w:val="00627391"/>
    <w:rsid w:val="00633D1B"/>
    <w:rsid w:val="0064475D"/>
    <w:rsid w:val="00651E9A"/>
    <w:rsid w:val="006536A7"/>
    <w:rsid w:val="006550B8"/>
    <w:rsid w:val="006665AF"/>
    <w:rsid w:val="0066725B"/>
    <w:rsid w:val="006807E3"/>
    <w:rsid w:val="0068442A"/>
    <w:rsid w:val="00690AED"/>
    <w:rsid w:val="00692EC3"/>
    <w:rsid w:val="006950BA"/>
    <w:rsid w:val="006A190A"/>
    <w:rsid w:val="006B64B2"/>
    <w:rsid w:val="006C0302"/>
    <w:rsid w:val="006C1A1E"/>
    <w:rsid w:val="006C1EC4"/>
    <w:rsid w:val="006D19C7"/>
    <w:rsid w:val="006D1B3A"/>
    <w:rsid w:val="006D4781"/>
    <w:rsid w:val="006D56B3"/>
    <w:rsid w:val="006D63BA"/>
    <w:rsid w:val="006D6AF7"/>
    <w:rsid w:val="006E10F0"/>
    <w:rsid w:val="006E1FBA"/>
    <w:rsid w:val="006E260C"/>
    <w:rsid w:val="006E6B10"/>
    <w:rsid w:val="006E6B9B"/>
    <w:rsid w:val="00701CEE"/>
    <w:rsid w:val="00703A38"/>
    <w:rsid w:val="00713C8B"/>
    <w:rsid w:val="0073459B"/>
    <w:rsid w:val="00744370"/>
    <w:rsid w:val="00745550"/>
    <w:rsid w:val="00747ACF"/>
    <w:rsid w:val="00753D81"/>
    <w:rsid w:val="00783F63"/>
    <w:rsid w:val="00785850"/>
    <w:rsid w:val="007905A7"/>
    <w:rsid w:val="007945EE"/>
    <w:rsid w:val="007A5FF5"/>
    <w:rsid w:val="007B0788"/>
    <w:rsid w:val="007B655D"/>
    <w:rsid w:val="007C1526"/>
    <w:rsid w:val="007C2DBE"/>
    <w:rsid w:val="007C3885"/>
    <w:rsid w:val="007C405C"/>
    <w:rsid w:val="007C6E58"/>
    <w:rsid w:val="007C7134"/>
    <w:rsid w:val="007D2C17"/>
    <w:rsid w:val="007D375F"/>
    <w:rsid w:val="007E6636"/>
    <w:rsid w:val="007E6995"/>
    <w:rsid w:val="007E74C5"/>
    <w:rsid w:val="007F5CF3"/>
    <w:rsid w:val="0080365D"/>
    <w:rsid w:val="00804FAB"/>
    <w:rsid w:val="00810C04"/>
    <w:rsid w:val="008155B5"/>
    <w:rsid w:val="00815BA2"/>
    <w:rsid w:val="00822AAD"/>
    <w:rsid w:val="00830554"/>
    <w:rsid w:val="00837DE6"/>
    <w:rsid w:val="00841823"/>
    <w:rsid w:val="00844699"/>
    <w:rsid w:val="0084628E"/>
    <w:rsid w:val="00851296"/>
    <w:rsid w:val="00856C0C"/>
    <w:rsid w:val="008576B8"/>
    <w:rsid w:val="00866B8D"/>
    <w:rsid w:val="008749E7"/>
    <w:rsid w:val="0087536E"/>
    <w:rsid w:val="00877ADB"/>
    <w:rsid w:val="008808F6"/>
    <w:rsid w:val="00894D86"/>
    <w:rsid w:val="00896765"/>
    <w:rsid w:val="008A1339"/>
    <w:rsid w:val="008A481A"/>
    <w:rsid w:val="008A4EE3"/>
    <w:rsid w:val="008A6A38"/>
    <w:rsid w:val="008B3501"/>
    <w:rsid w:val="008C2287"/>
    <w:rsid w:val="008C3A0C"/>
    <w:rsid w:val="008C6B52"/>
    <w:rsid w:val="008C6F83"/>
    <w:rsid w:val="008D339F"/>
    <w:rsid w:val="008D61D4"/>
    <w:rsid w:val="008E1F12"/>
    <w:rsid w:val="00900662"/>
    <w:rsid w:val="009170B0"/>
    <w:rsid w:val="009251BE"/>
    <w:rsid w:val="0094021C"/>
    <w:rsid w:val="009515F5"/>
    <w:rsid w:val="0095709A"/>
    <w:rsid w:val="00963375"/>
    <w:rsid w:val="009647F8"/>
    <w:rsid w:val="009762FE"/>
    <w:rsid w:val="00986C65"/>
    <w:rsid w:val="00986ECA"/>
    <w:rsid w:val="009938E6"/>
    <w:rsid w:val="009A4268"/>
    <w:rsid w:val="009A46E4"/>
    <w:rsid w:val="009A64F1"/>
    <w:rsid w:val="009A75FA"/>
    <w:rsid w:val="009B2715"/>
    <w:rsid w:val="009B3F5F"/>
    <w:rsid w:val="009B6A90"/>
    <w:rsid w:val="009B7EF7"/>
    <w:rsid w:val="009C4083"/>
    <w:rsid w:val="009D0B2A"/>
    <w:rsid w:val="009D6520"/>
    <w:rsid w:val="00A018D7"/>
    <w:rsid w:val="00A06C92"/>
    <w:rsid w:val="00A1652A"/>
    <w:rsid w:val="00A244F3"/>
    <w:rsid w:val="00A2675F"/>
    <w:rsid w:val="00A27DA9"/>
    <w:rsid w:val="00A32E95"/>
    <w:rsid w:val="00A40901"/>
    <w:rsid w:val="00A478DB"/>
    <w:rsid w:val="00A513F9"/>
    <w:rsid w:val="00A51567"/>
    <w:rsid w:val="00A5300A"/>
    <w:rsid w:val="00A54201"/>
    <w:rsid w:val="00A60BD3"/>
    <w:rsid w:val="00A63BFD"/>
    <w:rsid w:val="00A70BCC"/>
    <w:rsid w:val="00A838A7"/>
    <w:rsid w:val="00A8554A"/>
    <w:rsid w:val="00A855F2"/>
    <w:rsid w:val="00A86473"/>
    <w:rsid w:val="00A904F1"/>
    <w:rsid w:val="00A90909"/>
    <w:rsid w:val="00AA161A"/>
    <w:rsid w:val="00AB0E00"/>
    <w:rsid w:val="00AB4141"/>
    <w:rsid w:val="00AB7868"/>
    <w:rsid w:val="00AB79B1"/>
    <w:rsid w:val="00AB7F90"/>
    <w:rsid w:val="00AC6F59"/>
    <w:rsid w:val="00AC7993"/>
    <w:rsid w:val="00AD049A"/>
    <w:rsid w:val="00AD37B4"/>
    <w:rsid w:val="00AD6E78"/>
    <w:rsid w:val="00AE1097"/>
    <w:rsid w:val="00AF28B1"/>
    <w:rsid w:val="00AF352A"/>
    <w:rsid w:val="00B06A36"/>
    <w:rsid w:val="00B1106D"/>
    <w:rsid w:val="00B316CD"/>
    <w:rsid w:val="00B40BB8"/>
    <w:rsid w:val="00B42623"/>
    <w:rsid w:val="00B45861"/>
    <w:rsid w:val="00B45EF9"/>
    <w:rsid w:val="00B46E28"/>
    <w:rsid w:val="00B54755"/>
    <w:rsid w:val="00B575F1"/>
    <w:rsid w:val="00B57F5A"/>
    <w:rsid w:val="00B611D3"/>
    <w:rsid w:val="00B63F1E"/>
    <w:rsid w:val="00B6673D"/>
    <w:rsid w:val="00B73CE9"/>
    <w:rsid w:val="00B744CC"/>
    <w:rsid w:val="00B74878"/>
    <w:rsid w:val="00B77738"/>
    <w:rsid w:val="00B81726"/>
    <w:rsid w:val="00B84762"/>
    <w:rsid w:val="00B97992"/>
    <w:rsid w:val="00BA2832"/>
    <w:rsid w:val="00BA59FC"/>
    <w:rsid w:val="00BA5C61"/>
    <w:rsid w:val="00BB68B3"/>
    <w:rsid w:val="00BD0F82"/>
    <w:rsid w:val="00BE4C29"/>
    <w:rsid w:val="00BF233B"/>
    <w:rsid w:val="00BF607F"/>
    <w:rsid w:val="00C0346D"/>
    <w:rsid w:val="00C06381"/>
    <w:rsid w:val="00C06CCF"/>
    <w:rsid w:val="00C076F7"/>
    <w:rsid w:val="00C11F78"/>
    <w:rsid w:val="00C12BD9"/>
    <w:rsid w:val="00C22A9E"/>
    <w:rsid w:val="00C26261"/>
    <w:rsid w:val="00C317CC"/>
    <w:rsid w:val="00C323D8"/>
    <w:rsid w:val="00C338F4"/>
    <w:rsid w:val="00C37F38"/>
    <w:rsid w:val="00C4730F"/>
    <w:rsid w:val="00C50E27"/>
    <w:rsid w:val="00C57411"/>
    <w:rsid w:val="00C64C75"/>
    <w:rsid w:val="00C66155"/>
    <w:rsid w:val="00C71F2D"/>
    <w:rsid w:val="00C920AF"/>
    <w:rsid w:val="00CA2ED9"/>
    <w:rsid w:val="00CA399E"/>
    <w:rsid w:val="00CA5FBA"/>
    <w:rsid w:val="00CA6E81"/>
    <w:rsid w:val="00CA6ECB"/>
    <w:rsid w:val="00CB06EB"/>
    <w:rsid w:val="00CB4365"/>
    <w:rsid w:val="00CC442F"/>
    <w:rsid w:val="00CD1CC5"/>
    <w:rsid w:val="00CD6644"/>
    <w:rsid w:val="00CE4AFF"/>
    <w:rsid w:val="00CE6D15"/>
    <w:rsid w:val="00D17168"/>
    <w:rsid w:val="00D21E58"/>
    <w:rsid w:val="00D34D34"/>
    <w:rsid w:val="00D4469B"/>
    <w:rsid w:val="00D44E5D"/>
    <w:rsid w:val="00D45D40"/>
    <w:rsid w:val="00D550E5"/>
    <w:rsid w:val="00D632A8"/>
    <w:rsid w:val="00D666E1"/>
    <w:rsid w:val="00D673B0"/>
    <w:rsid w:val="00D73593"/>
    <w:rsid w:val="00D765A7"/>
    <w:rsid w:val="00D8074F"/>
    <w:rsid w:val="00D973A5"/>
    <w:rsid w:val="00DB3082"/>
    <w:rsid w:val="00DC0869"/>
    <w:rsid w:val="00DC0F4F"/>
    <w:rsid w:val="00DC7906"/>
    <w:rsid w:val="00DD28CC"/>
    <w:rsid w:val="00DD6217"/>
    <w:rsid w:val="00DE2BA1"/>
    <w:rsid w:val="00DF1EF7"/>
    <w:rsid w:val="00DF30A4"/>
    <w:rsid w:val="00DF7730"/>
    <w:rsid w:val="00DF7E2C"/>
    <w:rsid w:val="00E00D06"/>
    <w:rsid w:val="00E03216"/>
    <w:rsid w:val="00E1571D"/>
    <w:rsid w:val="00E30CB2"/>
    <w:rsid w:val="00E30E99"/>
    <w:rsid w:val="00E372ED"/>
    <w:rsid w:val="00E44A03"/>
    <w:rsid w:val="00E50C74"/>
    <w:rsid w:val="00E51146"/>
    <w:rsid w:val="00E543C8"/>
    <w:rsid w:val="00E60837"/>
    <w:rsid w:val="00E62DCF"/>
    <w:rsid w:val="00E6304D"/>
    <w:rsid w:val="00E63A9F"/>
    <w:rsid w:val="00E63C38"/>
    <w:rsid w:val="00E6602D"/>
    <w:rsid w:val="00E669C3"/>
    <w:rsid w:val="00E70572"/>
    <w:rsid w:val="00E92465"/>
    <w:rsid w:val="00E93506"/>
    <w:rsid w:val="00E97785"/>
    <w:rsid w:val="00EA579F"/>
    <w:rsid w:val="00EB3016"/>
    <w:rsid w:val="00EB7B1F"/>
    <w:rsid w:val="00EC2881"/>
    <w:rsid w:val="00EC33D7"/>
    <w:rsid w:val="00ED0273"/>
    <w:rsid w:val="00EE2E9A"/>
    <w:rsid w:val="00EE3B77"/>
    <w:rsid w:val="00EE6473"/>
    <w:rsid w:val="00EF04A5"/>
    <w:rsid w:val="00EF2A39"/>
    <w:rsid w:val="00F049BF"/>
    <w:rsid w:val="00F127B3"/>
    <w:rsid w:val="00F1322D"/>
    <w:rsid w:val="00F154CD"/>
    <w:rsid w:val="00F22B1B"/>
    <w:rsid w:val="00F23A89"/>
    <w:rsid w:val="00F248D3"/>
    <w:rsid w:val="00F25BEA"/>
    <w:rsid w:val="00F31B89"/>
    <w:rsid w:val="00F32DA3"/>
    <w:rsid w:val="00F46D09"/>
    <w:rsid w:val="00F46DDB"/>
    <w:rsid w:val="00F4734E"/>
    <w:rsid w:val="00F4797F"/>
    <w:rsid w:val="00F61224"/>
    <w:rsid w:val="00F715B7"/>
    <w:rsid w:val="00F74716"/>
    <w:rsid w:val="00F85E24"/>
    <w:rsid w:val="00F91D23"/>
    <w:rsid w:val="00F94DDC"/>
    <w:rsid w:val="00FA7090"/>
    <w:rsid w:val="00FB1ABC"/>
    <w:rsid w:val="00FC1CF4"/>
    <w:rsid w:val="00FC4ECF"/>
    <w:rsid w:val="00FD7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56B3"/>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56B3"/>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D56B3"/>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92EC3"/>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92EC3"/>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92EC3"/>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92EC3"/>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92EC3"/>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92EC3"/>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993"/>
    <w:pPr>
      <w:ind w:left="720"/>
      <w:contextualSpacing/>
    </w:pPr>
  </w:style>
  <w:style w:type="paragraph" w:styleId="Ballontekst">
    <w:name w:val="Balloon Text"/>
    <w:basedOn w:val="Standaard"/>
    <w:link w:val="BallontekstChar"/>
    <w:uiPriority w:val="99"/>
    <w:semiHidden/>
    <w:unhideWhenUsed/>
    <w:rsid w:val="00F46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DB"/>
    <w:rPr>
      <w:rFonts w:ascii="Tahoma" w:hAnsi="Tahoma" w:cs="Tahoma"/>
      <w:sz w:val="16"/>
      <w:szCs w:val="16"/>
    </w:rPr>
  </w:style>
  <w:style w:type="paragraph" w:styleId="Duidelijkcitaat">
    <w:name w:val="Intense Quote"/>
    <w:basedOn w:val="Standaard"/>
    <w:next w:val="Standaard"/>
    <w:link w:val="DuidelijkcitaatChar"/>
    <w:uiPriority w:val="30"/>
    <w:qFormat/>
    <w:rsid w:val="00F46DD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46DDB"/>
    <w:rPr>
      <w:b/>
      <w:bCs/>
      <w:i/>
      <w:iCs/>
      <w:color w:val="4F81BD" w:themeColor="accent1"/>
    </w:rPr>
  </w:style>
  <w:style w:type="character" w:styleId="Intensievebenadrukking">
    <w:name w:val="Intense Emphasis"/>
    <w:basedOn w:val="Standaardalinea-lettertype"/>
    <w:uiPriority w:val="21"/>
    <w:qFormat/>
    <w:rsid w:val="00F46DDB"/>
    <w:rPr>
      <w:b/>
      <w:bCs/>
      <w:i/>
      <w:iCs/>
      <w:color w:val="4F81BD" w:themeColor="accent1"/>
    </w:rPr>
  </w:style>
  <w:style w:type="paragraph" w:styleId="Voetnoottekst">
    <w:name w:val="footnote text"/>
    <w:basedOn w:val="Standaard"/>
    <w:link w:val="VoetnoottekstChar"/>
    <w:uiPriority w:val="99"/>
    <w:semiHidden/>
    <w:unhideWhenUsed/>
    <w:rsid w:val="002033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3E4"/>
    <w:rPr>
      <w:sz w:val="20"/>
      <w:szCs w:val="20"/>
    </w:rPr>
  </w:style>
  <w:style w:type="character" w:styleId="Voetnootmarkering">
    <w:name w:val="footnote reference"/>
    <w:basedOn w:val="Standaardalinea-lettertype"/>
    <w:uiPriority w:val="99"/>
    <w:semiHidden/>
    <w:unhideWhenUsed/>
    <w:rsid w:val="002033E4"/>
    <w:rPr>
      <w:vertAlign w:val="superscript"/>
    </w:rPr>
  </w:style>
  <w:style w:type="character" w:styleId="Hyperlink">
    <w:name w:val="Hyperlink"/>
    <w:basedOn w:val="Standaardalinea-lettertype"/>
    <w:uiPriority w:val="99"/>
    <w:unhideWhenUsed/>
    <w:rsid w:val="002033E4"/>
    <w:rPr>
      <w:color w:val="0000FF" w:themeColor="hyperlink"/>
      <w:u w:val="single"/>
    </w:rPr>
  </w:style>
  <w:style w:type="character" w:styleId="GevolgdeHyperlink">
    <w:name w:val="FollowedHyperlink"/>
    <w:basedOn w:val="Standaardalinea-lettertype"/>
    <w:uiPriority w:val="99"/>
    <w:semiHidden/>
    <w:unhideWhenUsed/>
    <w:rsid w:val="00C920AF"/>
    <w:rPr>
      <w:color w:val="800080" w:themeColor="followedHyperlink"/>
      <w:u w:val="single"/>
    </w:rPr>
  </w:style>
  <w:style w:type="paragraph" w:styleId="Documentstructuur">
    <w:name w:val="Document Map"/>
    <w:basedOn w:val="Standaard"/>
    <w:link w:val="DocumentstructuurChar"/>
    <w:uiPriority w:val="99"/>
    <w:semiHidden/>
    <w:unhideWhenUsed/>
    <w:rsid w:val="00B744C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744CC"/>
    <w:rPr>
      <w:rFonts w:ascii="Tahoma" w:hAnsi="Tahoma" w:cs="Tahoma"/>
      <w:sz w:val="16"/>
      <w:szCs w:val="16"/>
    </w:rPr>
  </w:style>
  <w:style w:type="character" w:customStyle="1" w:styleId="Kop2Char">
    <w:name w:val="Kop 2 Char"/>
    <w:basedOn w:val="Standaardalinea-lettertype"/>
    <w:link w:val="Kop2"/>
    <w:uiPriority w:val="9"/>
    <w:rsid w:val="006D56B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D56B3"/>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D56B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92EC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92EC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92EC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92EC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92EC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92EC3"/>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487E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7E84"/>
  </w:style>
  <w:style w:type="paragraph" w:styleId="Voettekst">
    <w:name w:val="footer"/>
    <w:basedOn w:val="Standaard"/>
    <w:link w:val="VoettekstChar"/>
    <w:uiPriority w:val="99"/>
    <w:unhideWhenUsed/>
    <w:rsid w:val="00487E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7E84"/>
  </w:style>
  <w:style w:type="character" w:styleId="Verwijzingopmerking">
    <w:name w:val="annotation reference"/>
    <w:basedOn w:val="Standaardalinea-lettertype"/>
    <w:uiPriority w:val="99"/>
    <w:semiHidden/>
    <w:unhideWhenUsed/>
    <w:rsid w:val="00F715B7"/>
    <w:rPr>
      <w:sz w:val="16"/>
      <w:szCs w:val="16"/>
    </w:rPr>
  </w:style>
  <w:style w:type="paragraph" w:styleId="Tekstopmerking">
    <w:name w:val="annotation text"/>
    <w:basedOn w:val="Standaard"/>
    <w:link w:val="TekstopmerkingChar"/>
    <w:uiPriority w:val="99"/>
    <w:semiHidden/>
    <w:unhideWhenUsed/>
    <w:rsid w:val="00F715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15B7"/>
    <w:rPr>
      <w:sz w:val="20"/>
      <w:szCs w:val="20"/>
    </w:rPr>
  </w:style>
  <w:style w:type="paragraph" w:styleId="Onderwerpvanopmerking">
    <w:name w:val="annotation subject"/>
    <w:basedOn w:val="Tekstopmerking"/>
    <w:next w:val="Tekstopmerking"/>
    <w:link w:val="OnderwerpvanopmerkingChar"/>
    <w:uiPriority w:val="99"/>
    <w:semiHidden/>
    <w:unhideWhenUsed/>
    <w:rsid w:val="00F715B7"/>
    <w:rPr>
      <w:b/>
      <w:bCs/>
    </w:rPr>
  </w:style>
  <w:style w:type="character" w:customStyle="1" w:styleId="OnderwerpvanopmerkingChar">
    <w:name w:val="Onderwerp van opmerking Char"/>
    <w:basedOn w:val="TekstopmerkingChar"/>
    <w:link w:val="Onderwerpvanopmerking"/>
    <w:uiPriority w:val="99"/>
    <w:semiHidden/>
    <w:rsid w:val="00F715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56B3"/>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56B3"/>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D56B3"/>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92EC3"/>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92EC3"/>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92EC3"/>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92EC3"/>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92EC3"/>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92EC3"/>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993"/>
    <w:pPr>
      <w:ind w:left="720"/>
      <w:contextualSpacing/>
    </w:pPr>
  </w:style>
  <w:style w:type="paragraph" w:styleId="Ballontekst">
    <w:name w:val="Balloon Text"/>
    <w:basedOn w:val="Standaard"/>
    <w:link w:val="BallontekstChar"/>
    <w:uiPriority w:val="99"/>
    <w:semiHidden/>
    <w:unhideWhenUsed/>
    <w:rsid w:val="00F46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DB"/>
    <w:rPr>
      <w:rFonts w:ascii="Tahoma" w:hAnsi="Tahoma" w:cs="Tahoma"/>
      <w:sz w:val="16"/>
      <w:szCs w:val="16"/>
    </w:rPr>
  </w:style>
  <w:style w:type="paragraph" w:styleId="Duidelijkcitaat">
    <w:name w:val="Intense Quote"/>
    <w:basedOn w:val="Standaard"/>
    <w:next w:val="Standaard"/>
    <w:link w:val="DuidelijkcitaatChar"/>
    <w:uiPriority w:val="30"/>
    <w:qFormat/>
    <w:rsid w:val="00F46DD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46DDB"/>
    <w:rPr>
      <w:b/>
      <w:bCs/>
      <w:i/>
      <w:iCs/>
      <w:color w:val="4F81BD" w:themeColor="accent1"/>
    </w:rPr>
  </w:style>
  <w:style w:type="character" w:styleId="Intensievebenadrukking">
    <w:name w:val="Intense Emphasis"/>
    <w:basedOn w:val="Standaardalinea-lettertype"/>
    <w:uiPriority w:val="21"/>
    <w:qFormat/>
    <w:rsid w:val="00F46DDB"/>
    <w:rPr>
      <w:b/>
      <w:bCs/>
      <w:i/>
      <w:iCs/>
      <w:color w:val="4F81BD" w:themeColor="accent1"/>
    </w:rPr>
  </w:style>
  <w:style w:type="paragraph" w:styleId="Voetnoottekst">
    <w:name w:val="footnote text"/>
    <w:basedOn w:val="Standaard"/>
    <w:link w:val="VoetnoottekstChar"/>
    <w:uiPriority w:val="99"/>
    <w:semiHidden/>
    <w:unhideWhenUsed/>
    <w:rsid w:val="002033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3E4"/>
    <w:rPr>
      <w:sz w:val="20"/>
      <w:szCs w:val="20"/>
    </w:rPr>
  </w:style>
  <w:style w:type="character" w:styleId="Voetnootmarkering">
    <w:name w:val="footnote reference"/>
    <w:basedOn w:val="Standaardalinea-lettertype"/>
    <w:uiPriority w:val="99"/>
    <w:semiHidden/>
    <w:unhideWhenUsed/>
    <w:rsid w:val="002033E4"/>
    <w:rPr>
      <w:vertAlign w:val="superscript"/>
    </w:rPr>
  </w:style>
  <w:style w:type="character" w:styleId="Hyperlink">
    <w:name w:val="Hyperlink"/>
    <w:basedOn w:val="Standaardalinea-lettertype"/>
    <w:uiPriority w:val="99"/>
    <w:unhideWhenUsed/>
    <w:rsid w:val="002033E4"/>
    <w:rPr>
      <w:color w:val="0000FF" w:themeColor="hyperlink"/>
      <w:u w:val="single"/>
    </w:rPr>
  </w:style>
  <w:style w:type="character" w:styleId="GevolgdeHyperlink">
    <w:name w:val="FollowedHyperlink"/>
    <w:basedOn w:val="Standaardalinea-lettertype"/>
    <w:uiPriority w:val="99"/>
    <w:semiHidden/>
    <w:unhideWhenUsed/>
    <w:rsid w:val="00C920AF"/>
    <w:rPr>
      <w:color w:val="800080" w:themeColor="followedHyperlink"/>
      <w:u w:val="single"/>
    </w:rPr>
  </w:style>
  <w:style w:type="paragraph" w:styleId="Documentstructuur">
    <w:name w:val="Document Map"/>
    <w:basedOn w:val="Standaard"/>
    <w:link w:val="DocumentstructuurChar"/>
    <w:uiPriority w:val="99"/>
    <w:semiHidden/>
    <w:unhideWhenUsed/>
    <w:rsid w:val="00B744C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744CC"/>
    <w:rPr>
      <w:rFonts w:ascii="Tahoma" w:hAnsi="Tahoma" w:cs="Tahoma"/>
      <w:sz w:val="16"/>
      <w:szCs w:val="16"/>
    </w:rPr>
  </w:style>
  <w:style w:type="character" w:customStyle="1" w:styleId="Kop2Char">
    <w:name w:val="Kop 2 Char"/>
    <w:basedOn w:val="Standaardalinea-lettertype"/>
    <w:link w:val="Kop2"/>
    <w:uiPriority w:val="9"/>
    <w:rsid w:val="006D56B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D56B3"/>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D56B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92EC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92EC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92EC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92EC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92EC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92EC3"/>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487E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7E84"/>
  </w:style>
  <w:style w:type="paragraph" w:styleId="Voettekst">
    <w:name w:val="footer"/>
    <w:basedOn w:val="Standaard"/>
    <w:link w:val="VoettekstChar"/>
    <w:uiPriority w:val="99"/>
    <w:unhideWhenUsed/>
    <w:rsid w:val="00487E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7E84"/>
  </w:style>
  <w:style w:type="character" w:styleId="Verwijzingopmerking">
    <w:name w:val="annotation reference"/>
    <w:basedOn w:val="Standaardalinea-lettertype"/>
    <w:uiPriority w:val="99"/>
    <w:semiHidden/>
    <w:unhideWhenUsed/>
    <w:rsid w:val="00F715B7"/>
    <w:rPr>
      <w:sz w:val="16"/>
      <w:szCs w:val="16"/>
    </w:rPr>
  </w:style>
  <w:style w:type="paragraph" w:styleId="Tekstopmerking">
    <w:name w:val="annotation text"/>
    <w:basedOn w:val="Standaard"/>
    <w:link w:val="TekstopmerkingChar"/>
    <w:uiPriority w:val="99"/>
    <w:semiHidden/>
    <w:unhideWhenUsed/>
    <w:rsid w:val="00F715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15B7"/>
    <w:rPr>
      <w:sz w:val="20"/>
      <w:szCs w:val="20"/>
    </w:rPr>
  </w:style>
  <w:style w:type="paragraph" w:styleId="Onderwerpvanopmerking">
    <w:name w:val="annotation subject"/>
    <w:basedOn w:val="Tekstopmerking"/>
    <w:next w:val="Tekstopmerking"/>
    <w:link w:val="OnderwerpvanopmerkingChar"/>
    <w:uiPriority w:val="99"/>
    <w:semiHidden/>
    <w:unhideWhenUsed/>
    <w:rsid w:val="00F715B7"/>
    <w:rPr>
      <w:b/>
      <w:bCs/>
    </w:rPr>
  </w:style>
  <w:style w:type="character" w:customStyle="1" w:styleId="OnderwerpvanopmerkingChar">
    <w:name w:val="Onderwerp van opmerking Char"/>
    <w:basedOn w:val="TekstopmerkingChar"/>
    <w:link w:val="Onderwerpvanopmerking"/>
    <w:uiPriority w:val="99"/>
    <w:semiHidden/>
    <w:rsid w:val="00F71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6398">
      <w:bodyDiv w:val="1"/>
      <w:marLeft w:val="0"/>
      <w:marRight w:val="0"/>
      <w:marTop w:val="0"/>
      <w:marBottom w:val="0"/>
      <w:divBdr>
        <w:top w:val="none" w:sz="0" w:space="0" w:color="auto"/>
        <w:left w:val="none" w:sz="0" w:space="0" w:color="auto"/>
        <w:bottom w:val="none" w:sz="0" w:space="0" w:color="auto"/>
        <w:right w:val="none" w:sz="0" w:space="0" w:color="auto"/>
      </w:divBdr>
      <w:divsChild>
        <w:div w:id="1699820124">
          <w:marLeft w:val="547"/>
          <w:marRight w:val="0"/>
          <w:marTop w:val="154"/>
          <w:marBottom w:val="0"/>
          <w:divBdr>
            <w:top w:val="none" w:sz="0" w:space="0" w:color="auto"/>
            <w:left w:val="none" w:sz="0" w:space="0" w:color="auto"/>
            <w:bottom w:val="none" w:sz="0" w:space="0" w:color="auto"/>
            <w:right w:val="none" w:sz="0" w:space="0" w:color="auto"/>
          </w:divBdr>
        </w:div>
        <w:div w:id="365909504">
          <w:marLeft w:val="1166"/>
          <w:marRight w:val="0"/>
          <w:marTop w:val="134"/>
          <w:marBottom w:val="0"/>
          <w:divBdr>
            <w:top w:val="none" w:sz="0" w:space="0" w:color="auto"/>
            <w:left w:val="none" w:sz="0" w:space="0" w:color="auto"/>
            <w:bottom w:val="none" w:sz="0" w:space="0" w:color="auto"/>
            <w:right w:val="none" w:sz="0" w:space="0" w:color="auto"/>
          </w:divBdr>
        </w:div>
        <w:div w:id="1902672004">
          <w:marLeft w:val="1166"/>
          <w:marRight w:val="0"/>
          <w:marTop w:val="134"/>
          <w:marBottom w:val="0"/>
          <w:divBdr>
            <w:top w:val="none" w:sz="0" w:space="0" w:color="auto"/>
            <w:left w:val="none" w:sz="0" w:space="0" w:color="auto"/>
            <w:bottom w:val="none" w:sz="0" w:space="0" w:color="auto"/>
            <w:right w:val="none" w:sz="0" w:space="0" w:color="auto"/>
          </w:divBdr>
        </w:div>
        <w:div w:id="248775488">
          <w:marLeft w:val="1166"/>
          <w:marRight w:val="0"/>
          <w:marTop w:val="134"/>
          <w:marBottom w:val="0"/>
          <w:divBdr>
            <w:top w:val="none" w:sz="0" w:space="0" w:color="auto"/>
            <w:left w:val="none" w:sz="0" w:space="0" w:color="auto"/>
            <w:bottom w:val="none" w:sz="0" w:space="0" w:color="auto"/>
            <w:right w:val="none" w:sz="0" w:space="0" w:color="auto"/>
          </w:divBdr>
        </w:div>
        <w:div w:id="807475773">
          <w:marLeft w:val="1166"/>
          <w:marRight w:val="0"/>
          <w:marTop w:val="134"/>
          <w:marBottom w:val="0"/>
          <w:divBdr>
            <w:top w:val="none" w:sz="0" w:space="0" w:color="auto"/>
            <w:left w:val="none" w:sz="0" w:space="0" w:color="auto"/>
            <w:bottom w:val="none" w:sz="0" w:space="0" w:color="auto"/>
            <w:right w:val="none" w:sz="0" w:space="0" w:color="auto"/>
          </w:divBdr>
        </w:div>
      </w:divsChild>
    </w:div>
    <w:div w:id="1027634174">
      <w:bodyDiv w:val="1"/>
      <w:marLeft w:val="0"/>
      <w:marRight w:val="0"/>
      <w:marTop w:val="45"/>
      <w:marBottom w:val="45"/>
      <w:divBdr>
        <w:top w:val="none" w:sz="0" w:space="0" w:color="auto"/>
        <w:left w:val="none" w:sz="0" w:space="0" w:color="auto"/>
        <w:bottom w:val="none" w:sz="0" w:space="0" w:color="auto"/>
        <w:right w:val="none" w:sz="0" w:space="0" w:color="auto"/>
      </w:divBdr>
      <w:divsChild>
        <w:div w:id="568226338">
          <w:marLeft w:val="0"/>
          <w:marRight w:val="0"/>
          <w:marTop w:val="0"/>
          <w:marBottom w:val="0"/>
          <w:divBdr>
            <w:top w:val="none" w:sz="0" w:space="0" w:color="auto"/>
            <w:left w:val="none" w:sz="0" w:space="0" w:color="auto"/>
            <w:bottom w:val="none" w:sz="0" w:space="0" w:color="auto"/>
            <w:right w:val="none" w:sz="0" w:space="0" w:color="auto"/>
          </w:divBdr>
          <w:divsChild>
            <w:div w:id="1333216595">
              <w:marLeft w:val="0"/>
              <w:marRight w:val="0"/>
              <w:marTop w:val="0"/>
              <w:marBottom w:val="0"/>
              <w:divBdr>
                <w:top w:val="none" w:sz="0" w:space="0" w:color="auto"/>
                <w:left w:val="none" w:sz="0" w:space="0" w:color="auto"/>
                <w:bottom w:val="none" w:sz="0" w:space="0" w:color="auto"/>
                <w:right w:val="none" w:sz="0" w:space="0" w:color="auto"/>
              </w:divBdr>
              <w:divsChild>
                <w:div w:id="2126346561">
                  <w:marLeft w:val="0"/>
                  <w:marRight w:val="0"/>
                  <w:marTop w:val="0"/>
                  <w:marBottom w:val="0"/>
                  <w:divBdr>
                    <w:top w:val="none" w:sz="0" w:space="0" w:color="auto"/>
                    <w:left w:val="none" w:sz="0" w:space="0" w:color="auto"/>
                    <w:bottom w:val="none" w:sz="0" w:space="0" w:color="auto"/>
                    <w:right w:val="none" w:sz="0" w:space="0" w:color="auto"/>
                  </w:divBdr>
                  <w:divsChild>
                    <w:div w:id="1692105143">
                      <w:marLeft w:val="0"/>
                      <w:marRight w:val="0"/>
                      <w:marTop w:val="0"/>
                      <w:marBottom w:val="0"/>
                      <w:divBdr>
                        <w:top w:val="none" w:sz="0" w:space="0" w:color="auto"/>
                        <w:left w:val="none" w:sz="0" w:space="0" w:color="auto"/>
                        <w:bottom w:val="none" w:sz="0" w:space="0" w:color="auto"/>
                        <w:right w:val="none" w:sz="0" w:space="0" w:color="auto"/>
                      </w:divBdr>
                      <w:divsChild>
                        <w:div w:id="2030568674">
                          <w:marLeft w:val="0"/>
                          <w:marRight w:val="0"/>
                          <w:marTop w:val="315"/>
                          <w:marBottom w:val="0"/>
                          <w:divBdr>
                            <w:top w:val="none" w:sz="0" w:space="0" w:color="auto"/>
                            <w:left w:val="none" w:sz="0" w:space="0" w:color="auto"/>
                            <w:bottom w:val="none" w:sz="0" w:space="0" w:color="auto"/>
                            <w:right w:val="none" w:sz="0" w:space="0" w:color="auto"/>
                          </w:divBdr>
                          <w:divsChild>
                            <w:div w:id="973487198">
                              <w:marLeft w:val="1980"/>
                              <w:marRight w:val="3960"/>
                              <w:marTop w:val="0"/>
                              <w:marBottom w:val="0"/>
                              <w:divBdr>
                                <w:top w:val="none" w:sz="0" w:space="0" w:color="auto"/>
                                <w:left w:val="none" w:sz="0" w:space="0" w:color="auto"/>
                                <w:bottom w:val="none" w:sz="0" w:space="0" w:color="auto"/>
                                <w:right w:val="none" w:sz="0" w:space="0" w:color="auto"/>
                              </w:divBdr>
                              <w:divsChild>
                                <w:div w:id="1184979672">
                                  <w:marLeft w:val="0"/>
                                  <w:marRight w:val="0"/>
                                  <w:marTop w:val="0"/>
                                  <w:marBottom w:val="0"/>
                                  <w:divBdr>
                                    <w:top w:val="none" w:sz="0" w:space="0" w:color="auto"/>
                                    <w:left w:val="none" w:sz="0" w:space="0" w:color="auto"/>
                                    <w:bottom w:val="none" w:sz="0" w:space="0" w:color="auto"/>
                                    <w:right w:val="none" w:sz="0" w:space="0" w:color="auto"/>
                                  </w:divBdr>
                                  <w:divsChild>
                                    <w:div w:id="1992563442">
                                      <w:marLeft w:val="0"/>
                                      <w:marRight w:val="0"/>
                                      <w:marTop w:val="0"/>
                                      <w:marBottom w:val="0"/>
                                      <w:divBdr>
                                        <w:top w:val="none" w:sz="0" w:space="0" w:color="auto"/>
                                        <w:left w:val="none" w:sz="0" w:space="0" w:color="auto"/>
                                        <w:bottom w:val="none" w:sz="0" w:space="0" w:color="auto"/>
                                        <w:right w:val="none" w:sz="0" w:space="0" w:color="auto"/>
                                      </w:divBdr>
                                      <w:divsChild>
                                        <w:div w:id="1851141793">
                                          <w:marLeft w:val="0"/>
                                          <w:marRight w:val="0"/>
                                          <w:marTop w:val="0"/>
                                          <w:marBottom w:val="0"/>
                                          <w:divBdr>
                                            <w:top w:val="none" w:sz="0" w:space="0" w:color="auto"/>
                                            <w:left w:val="none" w:sz="0" w:space="0" w:color="auto"/>
                                            <w:bottom w:val="none" w:sz="0" w:space="0" w:color="auto"/>
                                            <w:right w:val="none" w:sz="0" w:space="0" w:color="auto"/>
                                          </w:divBdr>
                                          <w:divsChild>
                                            <w:div w:id="1827940881">
                                              <w:marLeft w:val="0"/>
                                              <w:marRight w:val="0"/>
                                              <w:marTop w:val="0"/>
                                              <w:marBottom w:val="0"/>
                                              <w:divBdr>
                                                <w:top w:val="none" w:sz="0" w:space="0" w:color="auto"/>
                                                <w:left w:val="none" w:sz="0" w:space="0" w:color="auto"/>
                                                <w:bottom w:val="none" w:sz="0" w:space="0" w:color="auto"/>
                                                <w:right w:val="none" w:sz="0" w:space="0" w:color="auto"/>
                                              </w:divBdr>
                                              <w:divsChild>
                                                <w:div w:id="17158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6405">
      <w:bodyDiv w:val="1"/>
      <w:marLeft w:val="0"/>
      <w:marRight w:val="0"/>
      <w:marTop w:val="0"/>
      <w:marBottom w:val="0"/>
      <w:divBdr>
        <w:top w:val="none" w:sz="0" w:space="0" w:color="auto"/>
        <w:left w:val="none" w:sz="0" w:space="0" w:color="auto"/>
        <w:bottom w:val="none" w:sz="0" w:space="0" w:color="auto"/>
        <w:right w:val="none" w:sz="0" w:space="0" w:color="auto"/>
      </w:divBdr>
      <w:divsChild>
        <w:div w:id="1674839362">
          <w:marLeft w:val="547"/>
          <w:marRight w:val="0"/>
          <w:marTop w:val="96"/>
          <w:marBottom w:val="0"/>
          <w:divBdr>
            <w:top w:val="none" w:sz="0" w:space="0" w:color="auto"/>
            <w:left w:val="none" w:sz="0" w:space="0" w:color="auto"/>
            <w:bottom w:val="none" w:sz="0" w:space="0" w:color="auto"/>
            <w:right w:val="none" w:sz="0" w:space="0" w:color="auto"/>
          </w:divBdr>
        </w:div>
      </w:divsChild>
    </w:div>
    <w:div w:id="1148203654">
      <w:bodyDiv w:val="1"/>
      <w:marLeft w:val="0"/>
      <w:marRight w:val="0"/>
      <w:marTop w:val="0"/>
      <w:marBottom w:val="0"/>
      <w:divBdr>
        <w:top w:val="none" w:sz="0" w:space="0" w:color="auto"/>
        <w:left w:val="none" w:sz="0" w:space="0" w:color="auto"/>
        <w:bottom w:val="none" w:sz="0" w:space="0" w:color="auto"/>
        <w:right w:val="none" w:sz="0" w:space="0" w:color="auto"/>
      </w:divBdr>
      <w:divsChild>
        <w:div w:id="1489201918">
          <w:marLeft w:val="547"/>
          <w:marRight w:val="0"/>
          <w:marTop w:val="115"/>
          <w:marBottom w:val="0"/>
          <w:divBdr>
            <w:top w:val="none" w:sz="0" w:space="0" w:color="auto"/>
            <w:left w:val="none" w:sz="0" w:space="0" w:color="auto"/>
            <w:bottom w:val="none" w:sz="0" w:space="0" w:color="auto"/>
            <w:right w:val="none" w:sz="0" w:space="0" w:color="auto"/>
          </w:divBdr>
        </w:div>
      </w:divsChild>
    </w:div>
    <w:div w:id="1625303660">
      <w:bodyDiv w:val="1"/>
      <w:marLeft w:val="0"/>
      <w:marRight w:val="0"/>
      <w:marTop w:val="45"/>
      <w:marBottom w:val="45"/>
      <w:divBdr>
        <w:top w:val="none" w:sz="0" w:space="0" w:color="auto"/>
        <w:left w:val="none" w:sz="0" w:space="0" w:color="auto"/>
        <w:bottom w:val="none" w:sz="0" w:space="0" w:color="auto"/>
        <w:right w:val="none" w:sz="0" w:space="0" w:color="auto"/>
      </w:divBdr>
      <w:divsChild>
        <w:div w:id="74404165">
          <w:marLeft w:val="0"/>
          <w:marRight w:val="0"/>
          <w:marTop w:val="0"/>
          <w:marBottom w:val="0"/>
          <w:divBdr>
            <w:top w:val="none" w:sz="0" w:space="0" w:color="auto"/>
            <w:left w:val="none" w:sz="0" w:space="0" w:color="auto"/>
            <w:bottom w:val="none" w:sz="0" w:space="0" w:color="auto"/>
            <w:right w:val="none" w:sz="0" w:space="0" w:color="auto"/>
          </w:divBdr>
          <w:divsChild>
            <w:div w:id="476999081">
              <w:marLeft w:val="0"/>
              <w:marRight w:val="0"/>
              <w:marTop w:val="0"/>
              <w:marBottom w:val="0"/>
              <w:divBdr>
                <w:top w:val="none" w:sz="0" w:space="0" w:color="auto"/>
                <w:left w:val="none" w:sz="0" w:space="0" w:color="auto"/>
                <w:bottom w:val="none" w:sz="0" w:space="0" w:color="auto"/>
                <w:right w:val="none" w:sz="0" w:space="0" w:color="auto"/>
              </w:divBdr>
              <w:divsChild>
                <w:div w:id="1433236902">
                  <w:marLeft w:val="0"/>
                  <w:marRight w:val="0"/>
                  <w:marTop w:val="0"/>
                  <w:marBottom w:val="0"/>
                  <w:divBdr>
                    <w:top w:val="none" w:sz="0" w:space="0" w:color="auto"/>
                    <w:left w:val="none" w:sz="0" w:space="0" w:color="auto"/>
                    <w:bottom w:val="none" w:sz="0" w:space="0" w:color="auto"/>
                    <w:right w:val="none" w:sz="0" w:space="0" w:color="auto"/>
                  </w:divBdr>
                  <w:divsChild>
                    <w:div w:id="1793589821">
                      <w:marLeft w:val="0"/>
                      <w:marRight w:val="0"/>
                      <w:marTop w:val="0"/>
                      <w:marBottom w:val="0"/>
                      <w:divBdr>
                        <w:top w:val="none" w:sz="0" w:space="0" w:color="auto"/>
                        <w:left w:val="none" w:sz="0" w:space="0" w:color="auto"/>
                        <w:bottom w:val="none" w:sz="0" w:space="0" w:color="auto"/>
                        <w:right w:val="none" w:sz="0" w:space="0" w:color="auto"/>
                      </w:divBdr>
                      <w:divsChild>
                        <w:div w:id="1791590205">
                          <w:marLeft w:val="0"/>
                          <w:marRight w:val="0"/>
                          <w:marTop w:val="315"/>
                          <w:marBottom w:val="0"/>
                          <w:divBdr>
                            <w:top w:val="none" w:sz="0" w:space="0" w:color="auto"/>
                            <w:left w:val="none" w:sz="0" w:space="0" w:color="auto"/>
                            <w:bottom w:val="none" w:sz="0" w:space="0" w:color="auto"/>
                            <w:right w:val="none" w:sz="0" w:space="0" w:color="auto"/>
                          </w:divBdr>
                          <w:divsChild>
                            <w:div w:id="1637836706">
                              <w:marLeft w:val="1980"/>
                              <w:marRight w:val="3960"/>
                              <w:marTop w:val="0"/>
                              <w:marBottom w:val="0"/>
                              <w:divBdr>
                                <w:top w:val="none" w:sz="0" w:space="0" w:color="auto"/>
                                <w:left w:val="none" w:sz="0" w:space="0" w:color="auto"/>
                                <w:bottom w:val="none" w:sz="0" w:space="0" w:color="auto"/>
                                <w:right w:val="none" w:sz="0" w:space="0" w:color="auto"/>
                              </w:divBdr>
                              <w:divsChild>
                                <w:div w:id="2129466595">
                                  <w:marLeft w:val="0"/>
                                  <w:marRight w:val="0"/>
                                  <w:marTop w:val="0"/>
                                  <w:marBottom w:val="0"/>
                                  <w:divBdr>
                                    <w:top w:val="none" w:sz="0" w:space="0" w:color="auto"/>
                                    <w:left w:val="none" w:sz="0" w:space="0" w:color="auto"/>
                                    <w:bottom w:val="none" w:sz="0" w:space="0" w:color="auto"/>
                                    <w:right w:val="none" w:sz="0" w:space="0" w:color="auto"/>
                                  </w:divBdr>
                                  <w:divsChild>
                                    <w:div w:id="1228227962">
                                      <w:marLeft w:val="0"/>
                                      <w:marRight w:val="0"/>
                                      <w:marTop w:val="0"/>
                                      <w:marBottom w:val="0"/>
                                      <w:divBdr>
                                        <w:top w:val="none" w:sz="0" w:space="0" w:color="auto"/>
                                        <w:left w:val="none" w:sz="0" w:space="0" w:color="auto"/>
                                        <w:bottom w:val="none" w:sz="0" w:space="0" w:color="auto"/>
                                        <w:right w:val="none" w:sz="0" w:space="0" w:color="auto"/>
                                      </w:divBdr>
                                      <w:divsChild>
                                        <w:div w:id="1832746418">
                                          <w:marLeft w:val="0"/>
                                          <w:marRight w:val="0"/>
                                          <w:marTop w:val="0"/>
                                          <w:marBottom w:val="0"/>
                                          <w:divBdr>
                                            <w:top w:val="none" w:sz="0" w:space="0" w:color="auto"/>
                                            <w:left w:val="none" w:sz="0" w:space="0" w:color="auto"/>
                                            <w:bottom w:val="none" w:sz="0" w:space="0" w:color="auto"/>
                                            <w:right w:val="none" w:sz="0" w:space="0" w:color="auto"/>
                                          </w:divBdr>
                                          <w:divsChild>
                                            <w:div w:id="1957326522">
                                              <w:marLeft w:val="0"/>
                                              <w:marRight w:val="0"/>
                                              <w:marTop w:val="0"/>
                                              <w:marBottom w:val="0"/>
                                              <w:divBdr>
                                                <w:top w:val="none" w:sz="0" w:space="0" w:color="auto"/>
                                                <w:left w:val="none" w:sz="0" w:space="0" w:color="auto"/>
                                                <w:bottom w:val="none" w:sz="0" w:space="0" w:color="auto"/>
                                                <w:right w:val="none" w:sz="0" w:space="0" w:color="auto"/>
                                              </w:divBdr>
                                              <w:divsChild>
                                                <w:div w:id="21223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PDF/?uri=CELEX:32006H0962&amp;from=EN" TargetMode="External"/><Relationship Id="rId2" Type="http://schemas.openxmlformats.org/officeDocument/2006/relationships/hyperlink" Target="http://www.coe.int/t/dg4/linguistic/source/framework_en.pdf" TargetMode="External"/><Relationship Id="rId1" Type="http://schemas.openxmlformats.org/officeDocument/2006/relationships/hyperlink" Target="http://ec.europa.eu/dgs/education_culture/more_info/consultations/documents/skills-back_en.pdf" TargetMode="External"/><Relationship Id="rId5" Type="http://schemas.openxmlformats.org/officeDocument/2006/relationships/hyperlink" Target="http://www.eunec.eu/sites/www.eunec.eu/files/attachment/files/doc_016_consultation_professional_qualifications_directive.pdf" TargetMode="External"/><Relationship Id="rId4" Type="http://schemas.openxmlformats.org/officeDocument/2006/relationships/hyperlink" Target="http://eur-lex.europa.eu/LexUriServ/LexUriServ.do?uri=CONSLEG:2005L0036:20110324:EN: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E9EF-1591-46D2-B9EE-DB386A4C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2267</Words>
  <Characters>12469</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dc:creator>
  <cp:lastModifiedBy>Carine De Smet</cp:lastModifiedBy>
  <cp:revision>5</cp:revision>
  <cp:lastPrinted>2014-04-02T07:33:00Z</cp:lastPrinted>
  <dcterms:created xsi:type="dcterms:W3CDTF">2014-04-09T09:37:00Z</dcterms:created>
  <dcterms:modified xsi:type="dcterms:W3CDTF">2014-04-10T08:11:00Z</dcterms:modified>
</cp:coreProperties>
</file>