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5077"/>
        <w:gridCol w:w="4223"/>
      </w:tblGrid>
      <w:tr w:rsidR="004F0385" w:rsidRPr="001E64C3" w:rsidTr="00BE7C24">
        <w:trPr>
          <w:jc w:val="center"/>
        </w:trPr>
        <w:tc>
          <w:tcPr>
            <w:tcW w:w="5077" w:type="dxa"/>
          </w:tcPr>
          <w:p w:rsidR="004F0385" w:rsidRPr="001E64C3" w:rsidRDefault="004F0385" w:rsidP="007B4E98">
            <w:pPr>
              <w:spacing w:line="280" w:lineRule="exact"/>
              <w:rPr>
                <w:rFonts w:ascii="Arial" w:hAnsi="Arial"/>
                <w:lang w:eastAsia="nl-NL"/>
              </w:rPr>
            </w:pPr>
            <w:r>
              <w:rPr>
                <w:rFonts w:ascii="Arial" w:hAnsi="Arial"/>
                <w:noProof/>
                <w:lang w:val="en-GB" w:eastAsia="en-GB"/>
              </w:rPr>
              <w:drawing>
                <wp:anchor distT="0" distB="0" distL="114300" distR="114300" simplePos="0" relativeHeight="251659264" behindDoc="0" locked="0" layoutInCell="1" allowOverlap="1" wp14:anchorId="12BE07F3" wp14:editId="1F43A2E9">
                  <wp:simplePos x="0" y="0"/>
                  <wp:positionH relativeFrom="column">
                    <wp:posOffset>151766</wp:posOffset>
                  </wp:positionH>
                  <wp:positionV relativeFrom="paragraph">
                    <wp:posOffset>-61595</wp:posOffset>
                  </wp:positionV>
                  <wp:extent cx="2533650" cy="1305268"/>
                  <wp:effectExtent l="19050" t="19050" r="19050" b="28232"/>
                  <wp:wrapNone/>
                  <wp:docPr id="1"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J:\INTERNATIONAAL\New website\definitief logo 11 oktober.jpg"/>
                          <pic:cNvPicPr>
                            <a:picLocks noChangeAspect="1" noChangeArrowheads="1"/>
                          </pic:cNvPicPr>
                        </pic:nvPicPr>
                        <pic:blipFill>
                          <a:blip r:embed="rId9" cstate="print"/>
                          <a:srcRect/>
                          <a:stretch>
                            <a:fillRect/>
                          </a:stretch>
                        </pic:blipFill>
                        <pic:spPr bwMode="auto">
                          <a:xfrm>
                            <a:off x="0" y="0"/>
                            <a:ext cx="2533650" cy="1305268"/>
                          </a:xfrm>
                          <a:prstGeom prst="rect">
                            <a:avLst/>
                          </a:prstGeom>
                          <a:noFill/>
                          <a:ln w="9525">
                            <a:solidFill>
                              <a:srgbClr val="31859C"/>
                            </a:solidFill>
                            <a:miter lim="800000"/>
                            <a:headEnd/>
                            <a:tailEnd/>
                          </a:ln>
                        </pic:spPr>
                      </pic:pic>
                    </a:graphicData>
                  </a:graphic>
                </wp:anchor>
              </w:drawing>
            </w:r>
          </w:p>
        </w:tc>
        <w:tc>
          <w:tcPr>
            <w:tcW w:w="4223" w:type="dxa"/>
          </w:tcPr>
          <w:p w:rsidR="004F0385" w:rsidRPr="001E64C3" w:rsidRDefault="004F0385" w:rsidP="0042542D">
            <w:pPr>
              <w:spacing w:line="280" w:lineRule="exact"/>
              <w:jc w:val="center"/>
              <w:rPr>
                <w:rFonts w:ascii="Verdana" w:hAnsi="Verdana"/>
                <w:lang w:val="en-GB" w:eastAsia="nl-NL"/>
              </w:rPr>
            </w:pPr>
          </w:p>
        </w:tc>
      </w:tr>
      <w:tr w:rsidR="004F0385" w:rsidRPr="001E64C3" w:rsidTr="00BE7C24">
        <w:trPr>
          <w:jc w:val="center"/>
        </w:trPr>
        <w:tc>
          <w:tcPr>
            <w:tcW w:w="5077" w:type="dxa"/>
          </w:tcPr>
          <w:p w:rsidR="004F0385" w:rsidRPr="001E64C3" w:rsidRDefault="004F0385" w:rsidP="007B4E98">
            <w:pPr>
              <w:spacing w:line="280" w:lineRule="exact"/>
              <w:rPr>
                <w:rFonts w:ascii="Arial" w:hAnsi="Arial"/>
                <w:lang w:val="en-GB" w:eastAsia="nl-NL"/>
              </w:rPr>
            </w:pPr>
          </w:p>
          <w:p w:rsidR="004F0385" w:rsidRPr="001E64C3" w:rsidRDefault="004F0385" w:rsidP="007B4E98">
            <w:pPr>
              <w:spacing w:line="280" w:lineRule="exact"/>
              <w:rPr>
                <w:rFonts w:ascii="Arial" w:hAnsi="Arial"/>
                <w:lang w:val="en-GB" w:eastAsia="nl-NL"/>
              </w:rPr>
            </w:pPr>
          </w:p>
          <w:p w:rsidR="004F0385" w:rsidRPr="001E64C3" w:rsidRDefault="004F0385" w:rsidP="007B4E98">
            <w:pPr>
              <w:spacing w:line="280" w:lineRule="exact"/>
              <w:rPr>
                <w:rFonts w:ascii="Arial" w:hAnsi="Arial"/>
                <w:lang w:val="en-GB" w:eastAsia="nl-NL"/>
              </w:rPr>
            </w:pPr>
          </w:p>
        </w:tc>
        <w:tc>
          <w:tcPr>
            <w:tcW w:w="4223" w:type="dxa"/>
          </w:tcPr>
          <w:p w:rsidR="004F0385" w:rsidRPr="001E64C3" w:rsidRDefault="004F0385" w:rsidP="007B4E98">
            <w:pPr>
              <w:spacing w:line="280" w:lineRule="exact"/>
              <w:jc w:val="right"/>
              <w:rPr>
                <w:rFonts w:ascii="Verdana" w:hAnsi="Verdana"/>
                <w:lang w:val="en-GB" w:eastAsia="nl-NL"/>
              </w:rPr>
            </w:pPr>
          </w:p>
        </w:tc>
      </w:tr>
    </w:tbl>
    <w:p w:rsidR="004F0385" w:rsidRDefault="004F0385" w:rsidP="00F960FA">
      <w:pPr>
        <w:pStyle w:val="Titel"/>
      </w:pPr>
    </w:p>
    <w:p w:rsidR="00241209" w:rsidRPr="00241209" w:rsidRDefault="00241209" w:rsidP="00241209">
      <w:pPr>
        <w:rPr>
          <w:lang w:val="en-GB" w:eastAsia="nl-NL"/>
        </w:rPr>
      </w:pPr>
    </w:p>
    <w:p w:rsidR="00DF090C" w:rsidRDefault="00DF090C" w:rsidP="00F960FA">
      <w:pPr>
        <w:pStyle w:val="Titel"/>
      </w:pPr>
      <w:r>
        <w:t>Main Policy Lines in Education and Training</w:t>
      </w:r>
    </w:p>
    <w:p w:rsidR="00715DC6" w:rsidRDefault="002036AF" w:rsidP="00F960FA">
      <w:pPr>
        <w:pStyle w:val="Titel"/>
      </w:pPr>
      <w:r>
        <w:t xml:space="preserve"> </w:t>
      </w:r>
      <w:proofErr w:type="gramStart"/>
      <w:r>
        <w:t xml:space="preserve">December </w:t>
      </w:r>
      <w:r w:rsidR="004F0385">
        <w:t xml:space="preserve"> 2012</w:t>
      </w:r>
      <w:proofErr w:type="gramEnd"/>
      <w:r w:rsidR="0042542D">
        <w:t xml:space="preserve"> -  May 2013</w:t>
      </w:r>
    </w:p>
    <w:p w:rsidR="00094557" w:rsidRPr="00094557" w:rsidRDefault="00094557" w:rsidP="00094557">
      <w:pPr>
        <w:keepNext/>
        <w:keepLines/>
        <w:spacing w:before="240" w:after="240" w:line="280" w:lineRule="exact"/>
        <w:jc w:val="center"/>
        <w:rPr>
          <w:rFonts w:ascii="Verdana" w:eastAsia="Times New Roman" w:hAnsi="Verdana" w:cs="Times New Roman"/>
          <w:b/>
          <w:color w:val="808080"/>
          <w:kern w:val="28"/>
          <w:sz w:val="28"/>
          <w:szCs w:val="20"/>
          <w:lang w:val="en-GB" w:eastAsia="nl-NL"/>
        </w:rPr>
      </w:pPr>
    </w:p>
    <w:p w:rsidR="00094557" w:rsidRDefault="00094557" w:rsidP="00BE7C24">
      <w:pPr>
        <w:pStyle w:val="Lijstalinea"/>
        <w:keepNext/>
        <w:keepLines/>
        <w:spacing w:before="240" w:after="240" w:line="280" w:lineRule="exact"/>
        <w:ind w:left="2496" w:firstLine="336"/>
        <w:rPr>
          <w:rFonts w:ascii="Verdana" w:eastAsia="Times New Roman" w:hAnsi="Verdana" w:cs="Times New Roman"/>
          <w:b/>
          <w:color w:val="808080"/>
          <w:kern w:val="28"/>
          <w:sz w:val="28"/>
          <w:szCs w:val="20"/>
          <w:lang w:val="en-GB" w:eastAsia="nl-NL"/>
        </w:rPr>
      </w:pPr>
      <w:bookmarkStart w:id="0" w:name="_GoBack"/>
      <w:bookmarkEnd w:id="0"/>
      <w:r w:rsidRPr="0042542D">
        <w:rPr>
          <w:rFonts w:ascii="Verdana" w:eastAsia="Times New Roman" w:hAnsi="Verdana" w:cs="Times New Roman"/>
          <w:b/>
          <w:color w:val="808080"/>
          <w:kern w:val="28"/>
          <w:sz w:val="28"/>
          <w:szCs w:val="20"/>
          <w:lang w:val="en-GB" w:eastAsia="nl-NL"/>
        </w:rPr>
        <w:t>European Union</w:t>
      </w:r>
    </w:p>
    <w:p w:rsidR="0096540F" w:rsidRDefault="0096540F" w:rsidP="0096540F">
      <w:pPr>
        <w:pStyle w:val="Kop1"/>
        <w:numPr>
          <w:ilvl w:val="0"/>
          <w:numId w:val="16"/>
        </w:numPr>
        <w:rPr>
          <w:rFonts w:eastAsia="Times New Roman"/>
          <w:lang w:val="en-GB"/>
        </w:rPr>
      </w:pPr>
      <w:r>
        <w:rPr>
          <w:rFonts w:eastAsia="Times New Roman"/>
          <w:lang w:val="en-GB"/>
        </w:rPr>
        <w:t xml:space="preserve">Institutional context </w:t>
      </w:r>
    </w:p>
    <w:p w:rsidR="00D05C93" w:rsidRDefault="00D05C93" w:rsidP="00D05C93">
      <w:pPr>
        <w:pStyle w:val="Kop2"/>
        <w:numPr>
          <w:ilvl w:val="1"/>
          <w:numId w:val="16"/>
        </w:numPr>
        <w:rPr>
          <w:lang w:val="en-GB" w:eastAsia="en-US"/>
        </w:rPr>
      </w:pPr>
      <w:r>
        <w:rPr>
          <w:lang w:val="en-GB" w:eastAsia="en-US"/>
        </w:rPr>
        <w:t>The European Semester</w:t>
      </w:r>
    </w:p>
    <w:p w:rsidR="00D05C93" w:rsidRDefault="00D05C93" w:rsidP="00D05C93">
      <w:pPr>
        <w:rPr>
          <w:lang w:val="en-GB" w:eastAsia="en-US"/>
        </w:rPr>
      </w:pPr>
      <w:r w:rsidRPr="00D05C93">
        <w:rPr>
          <w:lang w:val="en-GB" w:eastAsia="en-US"/>
        </w:rPr>
        <w:t xml:space="preserve">The European Semester for 2013 is in full swing. Member States are currently submitting their national reform programmes and their stability or convergence programmes and the Commission is assessing them. The national documents are being uploaded </w:t>
      </w:r>
      <w:r>
        <w:rPr>
          <w:lang w:val="en-GB" w:eastAsia="en-US"/>
        </w:rPr>
        <w:t>at the Europe 2020</w:t>
      </w:r>
      <w:r w:rsidRPr="00D05C93">
        <w:rPr>
          <w:lang w:val="en-GB" w:eastAsia="en-US"/>
        </w:rPr>
        <w:t xml:space="preserve"> </w:t>
      </w:r>
      <w:r>
        <w:rPr>
          <w:lang w:val="en-GB" w:eastAsia="en-US"/>
        </w:rPr>
        <w:t xml:space="preserve">website </w:t>
      </w:r>
      <w:r w:rsidRPr="00D05C93">
        <w:rPr>
          <w:lang w:val="en-GB" w:eastAsia="en-US"/>
        </w:rPr>
        <w:t>as they arrive in April. The results of the Commission assessment will be presented on 29 May together with proposals for country specific recommendations to be endorsed by the European Council.</w:t>
      </w:r>
    </w:p>
    <w:p w:rsidR="00D05C93" w:rsidRPr="00D05C93" w:rsidRDefault="00BE7C24" w:rsidP="00D05C93">
      <w:pPr>
        <w:rPr>
          <w:lang w:val="en-GB" w:eastAsia="en-US"/>
        </w:rPr>
      </w:pPr>
      <w:hyperlink r:id="rId10" w:history="1">
        <w:r w:rsidR="00D05C93" w:rsidRPr="001A1AE7">
          <w:rPr>
            <w:rStyle w:val="Hyperlink"/>
            <w:lang w:val="en-GB" w:eastAsia="en-US"/>
          </w:rPr>
          <w:t>http://ec.europa.eu/europe2020/making-it-happen/country-specific-recommendations/</w:t>
        </w:r>
      </w:hyperlink>
      <w:r w:rsidR="00D05C93">
        <w:rPr>
          <w:lang w:val="en-GB" w:eastAsia="en-US"/>
        </w:rPr>
        <w:t xml:space="preserve"> </w:t>
      </w:r>
    </w:p>
    <w:p w:rsidR="00EB780B" w:rsidRDefault="0096540F" w:rsidP="00EB780B">
      <w:pPr>
        <w:pStyle w:val="Kop2"/>
        <w:numPr>
          <w:ilvl w:val="1"/>
          <w:numId w:val="16"/>
        </w:numPr>
        <w:rPr>
          <w:lang w:val="en-GB" w:eastAsia="en-US"/>
        </w:rPr>
      </w:pPr>
      <w:r>
        <w:rPr>
          <w:lang w:val="en-GB" w:eastAsia="en-US"/>
        </w:rPr>
        <w:t>The Irish Presidency of the EU</w:t>
      </w:r>
    </w:p>
    <w:p w:rsidR="00E93522" w:rsidRDefault="0096540F" w:rsidP="005C799F">
      <w:pPr>
        <w:pStyle w:val="Geenafstand"/>
        <w:jc w:val="both"/>
        <w:rPr>
          <w:lang w:val="en-GB"/>
        </w:rPr>
      </w:pPr>
      <w:r>
        <w:rPr>
          <w:lang w:val="en-GB"/>
        </w:rPr>
        <w:t>The Irish Presidency works together in a</w:t>
      </w:r>
      <w:r w:rsidR="008844B9">
        <w:rPr>
          <w:lang w:val="en-GB"/>
        </w:rPr>
        <w:t>n</w:t>
      </w:r>
      <w:r>
        <w:rPr>
          <w:lang w:val="en-GB"/>
        </w:rPr>
        <w:t xml:space="preserve"> 18 month programme with the Lithuanian Presidency (second half of 2013) and the Greek Presidency (first half of 2014).</w:t>
      </w:r>
    </w:p>
    <w:p w:rsidR="00E93522" w:rsidRDefault="004170C1" w:rsidP="00EB780B">
      <w:pPr>
        <w:pStyle w:val="Kop3"/>
        <w:numPr>
          <w:ilvl w:val="2"/>
          <w:numId w:val="16"/>
        </w:numPr>
        <w:rPr>
          <w:lang w:val="en-GB"/>
        </w:rPr>
      </w:pPr>
      <w:r>
        <w:rPr>
          <w:lang w:val="en-GB"/>
        </w:rPr>
        <w:t>General Affairs</w:t>
      </w:r>
      <w:r w:rsidR="00EB780B">
        <w:rPr>
          <w:lang w:val="en-GB"/>
        </w:rPr>
        <w:t xml:space="preserve">   </w:t>
      </w:r>
    </w:p>
    <w:p w:rsidR="0096540F" w:rsidRDefault="00E93522" w:rsidP="005C799F">
      <w:pPr>
        <w:jc w:val="both"/>
        <w:rPr>
          <w:lang w:val="en-GB" w:eastAsia="en-US"/>
        </w:rPr>
      </w:pPr>
      <w:r>
        <w:rPr>
          <w:lang w:val="en-GB" w:eastAsia="en-US"/>
        </w:rPr>
        <w:t>The main priorities of the Irish Presidency are organised along three action lines:</w:t>
      </w:r>
    </w:p>
    <w:p w:rsidR="00E93522" w:rsidRDefault="00E93522" w:rsidP="005C799F">
      <w:pPr>
        <w:pStyle w:val="Lijstalinea"/>
        <w:numPr>
          <w:ilvl w:val="0"/>
          <w:numId w:val="19"/>
        </w:numPr>
        <w:jc w:val="both"/>
        <w:rPr>
          <w:lang w:val="en-GB" w:eastAsia="en-US"/>
        </w:rPr>
      </w:pPr>
      <w:r>
        <w:rPr>
          <w:lang w:val="en-GB" w:eastAsia="en-US"/>
        </w:rPr>
        <w:t>Securing stability</w:t>
      </w:r>
    </w:p>
    <w:p w:rsidR="00E93522" w:rsidRDefault="00E93522" w:rsidP="005C799F">
      <w:pPr>
        <w:jc w:val="both"/>
        <w:rPr>
          <w:lang w:val="en-GB" w:eastAsia="en-US"/>
        </w:rPr>
      </w:pPr>
      <w:r>
        <w:rPr>
          <w:lang w:val="en-GB" w:eastAsia="en-US"/>
        </w:rPr>
        <w:t>It is important to establish durable foundations for stability.  Those foundations are those set out by successive European Councils, in particular Banking Union, the European Semester process and the next phase of reform to Economic and Monetary Union.</w:t>
      </w:r>
    </w:p>
    <w:p w:rsidR="00E93522" w:rsidRDefault="00E93522" w:rsidP="005C799F">
      <w:pPr>
        <w:pStyle w:val="Lijstalinea"/>
        <w:numPr>
          <w:ilvl w:val="0"/>
          <w:numId w:val="19"/>
        </w:numPr>
        <w:jc w:val="both"/>
        <w:rPr>
          <w:lang w:val="en-GB" w:eastAsia="en-US"/>
        </w:rPr>
      </w:pPr>
      <w:r>
        <w:rPr>
          <w:lang w:val="en-GB" w:eastAsia="en-US"/>
        </w:rPr>
        <w:t>Investing in sustainable jobs and growth</w:t>
      </w:r>
    </w:p>
    <w:p w:rsidR="00E93522" w:rsidRDefault="00E93522" w:rsidP="005C799F">
      <w:pPr>
        <w:jc w:val="both"/>
        <w:rPr>
          <w:lang w:val="en-GB" w:eastAsia="en-US"/>
        </w:rPr>
      </w:pPr>
      <w:r>
        <w:rPr>
          <w:lang w:val="en-GB" w:eastAsia="en-US"/>
        </w:rPr>
        <w:t>The next phase of Europe’s recovery must involve a Single Market of the future – notably a Digital Single Market – and must place a spotlight on the next generation by tackling youth unemployment.</w:t>
      </w:r>
    </w:p>
    <w:p w:rsidR="00E93522" w:rsidRDefault="00E93522" w:rsidP="005C799F">
      <w:pPr>
        <w:pStyle w:val="Lijstalinea"/>
        <w:numPr>
          <w:ilvl w:val="0"/>
          <w:numId w:val="19"/>
        </w:numPr>
        <w:jc w:val="both"/>
        <w:rPr>
          <w:lang w:val="en-GB" w:eastAsia="en-US"/>
        </w:rPr>
      </w:pPr>
      <w:r>
        <w:rPr>
          <w:lang w:val="en-GB" w:eastAsia="en-US"/>
        </w:rPr>
        <w:t>Europe and the world</w:t>
      </w:r>
    </w:p>
    <w:p w:rsidR="00E93522" w:rsidRDefault="00E93522" w:rsidP="005C799F">
      <w:pPr>
        <w:jc w:val="both"/>
        <w:rPr>
          <w:lang w:val="en-GB" w:eastAsia="en-US"/>
        </w:rPr>
      </w:pPr>
      <w:r>
        <w:rPr>
          <w:lang w:val="en-GB" w:eastAsia="en-US"/>
        </w:rPr>
        <w:lastRenderedPageBreak/>
        <w:t xml:space="preserve">Europe must look outside its borders and engage with its global partners.  </w:t>
      </w:r>
    </w:p>
    <w:p w:rsidR="00E93522" w:rsidRDefault="00E93522" w:rsidP="005C799F">
      <w:pPr>
        <w:jc w:val="both"/>
        <w:rPr>
          <w:lang w:val="en-GB" w:eastAsia="en-US"/>
        </w:rPr>
      </w:pPr>
      <w:r>
        <w:rPr>
          <w:lang w:val="en-GB" w:eastAsia="en-US"/>
        </w:rPr>
        <w:t>The Irish Presidency will endeavour to ensure a streamlined and inclusive European Semester process, drawing on the lessons learnt from previous European Semester.  The findings of the Annual Growth Survey (AGS) will be extensively discussed across sever</w:t>
      </w:r>
      <w:r w:rsidR="004170C1">
        <w:rPr>
          <w:lang w:val="en-GB" w:eastAsia="en-US"/>
        </w:rPr>
        <w:t>al</w:t>
      </w:r>
      <w:r>
        <w:rPr>
          <w:lang w:val="en-GB" w:eastAsia="en-US"/>
        </w:rPr>
        <w:t xml:space="preserve"> Councils in the first months of 2013.  A detailed synthesis report of Min</w:t>
      </w:r>
      <w:r w:rsidR="004170C1">
        <w:rPr>
          <w:lang w:val="en-GB" w:eastAsia="en-US"/>
        </w:rPr>
        <w:t xml:space="preserve">isterial discussions at </w:t>
      </w:r>
      <w:proofErr w:type="spellStart"/>
      <w:r w:rsidR="004170C1">
        <w:rPr>
          <w:lang w:val="en-GB" w:eastAsia="en-US"/>
        </w:rPr>
        <w:t>sectoral</w:t>
      </w:r>
      <w:proofErr w:type="spellEnd"/>
      <w:r w:rsidR="004170C1">
        <w:rPr>
          <w:lang w:val="en-GB" w:eastAsia="en-US"/>
        </w:rPr>
        <w:t xml:space="preserve"> Councils </w:t>
      </w:r>
      <w:r>
        <w:rPr>
          <w:lang w:val="en-GB" w:eastAsia="en-US"/>
        </w:rPr>
        <w:t xml:space="preserve">will be prepared </w:t>
      </w:r>
      <w:r w:rsidR="004170C1">
        <w:rPr>
          <w:lang w:val="en-GB" w:eastAsia="en-US"/>
        </w:rPr>
        <w:t>for the Spring European Council.  The response of the European Council, combined with the AGS, will feed into decisions on national economic and budgetary planning, which Member States will set out in Stability and Convergence Programmes and National Reform Programmes in April 2013.  These programmes will form the basis for the European Commission’s proposals for Count</w:t>
      </w:r>
      <w:r w:rsidR="006848D2">
        <w:rPr>
          <w:lang w:val="en-GB" w:eastAsia="en-US"/>
        </w:rPr>
        <w:t>ry Specific Recommendations (CSR</w:t>
      </w:r>
      <w:r w:rsidR="004170C1">
        <w:rPr>
          <w:lang w:val="en-GB" w:eastAsia="en-US"/>
        </w:rPr>
        <w:t>s) in May 2013.</w:t>
      </w:r>
    </w:p>
    <w:p w:rsidR="004170C1" w:rsidRDefault="004170C1" w:rsidP="00EB780B">
      <w:pPr>
        <w:pStyle w:val="Kop3"/>
        <w:numPr>
          <w:ilvl w:val="2"/>
          <w:numId w:val="16"/>
        </w:numPr>
        <w:rPr>
          <w:lang w:val="en-GB" w:eastAsia="en-US"/>
        </w:rPr>
      </w:pPr>
      <w:r>
        <w:rPr>
          <w:lang w:val="en-GB" w:eastAsia="en-US"/>
        </w:rPr>
        <w:t>Education</w:t>
      </w:r>
    </w:p>
    <w:p w:rsidR="004170C1" w:rsidRDefault="004170C1" w:rsidP="005C799F">
      <w:pPr>
        <w:jc w:val="both"/>
        <w:rPr>
          <w:lang w:val="en-GB" w:eastAsia="en-US"/>
        </w:rPr>
      </w:pPr>
      <w:r>
        <w:rPr>
          <w:lang w:val="en-GB" w:eastAsia="en-US"/>
        </w:rPr>
        <w:t xml:space="preserve">The importance of education and training for economic recovery is recognised in the Europe 2020 Strategy.  Education and training – key drivers to promoting social cohesion and reducing poverty – have a key contribution to make to tackling the current job crisis, especially that among younger Europeans.  </w:t>
      </w:r>
    </w:p>
    <w:p w:rsidR="004170C1" w:rsidRDefault="004170C1" w:rsidP="005C799F">
      <w:pPr>
        <w:jc w:val="both"/>
        <w:rPr>
          <w:lang w:val="en-GB" w:eastAsia="en-US"/>
        </w:rPr>
      </w:pPr>
      <w:r>
        <w:rPr>
          <w:lang w:val="en-GB" w:eastAsia="en-US"/>
        </w:rPr>
        <w:t>The Irish Presidency will prioritise reducing unemployment across the EU by extending access to education and ensuring the quality of education and training.  Emphasis will also be placed on integrating the education agenda further into the European Semester process to support jobs and growth.  The principles of quality and equity will underpin the Irish Presidency approach to education and training.</w:t>
      </w:r>
    </w:p>
    <w:p w:rsidR="004170C1" w:rsidRDefault="004170C1" w:rsidP="005C799F">
      <w:pPr>
        <w:pStyle w:val="Lijstalinea"/>
        <w:numPr>
          <w:ilvl w:val="0"/>
          <w:numId w:val="19"/>
        </w:numPr>
        <w:jc w:val="both"/>
        <w:rPr>
          <w:lang w:val="en-GB" w:eastAsia="en-US"/>
        </w:rPr>
      </w:pPr>
      <w:r>
        <w:rPr>
          <w:lang w:val="en-GB" w:eastAsia="en-US"/>
        </w:rPr>
        <w:t>Rethinking Education.  The adoption of Council Conclusions on the February 2013 Education Council</w:t>
      </w:r>
    </w:p>
    <w:p w:rsidR="004170C1" w:rsidRDefault="004170C1" w:rsidP="005C799F">
      <w:pPr>
        <w:pStyle w:val="Lijstalinea"/>
        <w:numPr>
          <w:ilvl w:val="0"/>
          <w:numId w:val="19"/>
        </w:numPr>
        <w:jc w:val="both"/>
        <w:rPr>
          <w:lang w:val="en-GB" w:eastAsia="en-US"/>
        </w:rPr>
      </w:pPr>
      <w:r>
        <w:rPr>
          <w:lang w:val="en-GB" w:eastAsia="en-US"/>
        </w:rPr>
        <w:t xml:space="preserve">Erasmus for All.  </w:t>
      </w:r>
      <w:r w:rsidR="00EB780B">
        <w:rPr>
          <w:lang w:val="en-GB" w:eastAsia="en-US"/>
        </w:rPr>
        <w:t>Reaching agreement with the Parliament will be a key task on the education and training agenda.</w:t>
      </w:r>
    </w:p>
    <w:p w:rsidR="00EB780B" w:rsidRDefault="00EB780B" w:rsidP="005C799F">
      <w:pPr>
        <w:pStyle w:val="Lijstalinea"/>
        <w:numPr>
          <w:ilvl w:val="0"/>
          <w:numId w:val="19"/>
        </w:numPr>
        <w:jc w:val="both"/>
        <w:rPr>
          <w:lang w:val="en-GB" w:eastAsia="en-US"/>
        </w:rPr>
      </w:pPr>
      <w:r>
        <w:rPr>
          <w:lang w:val="en-GB" w:eastAsia="en-US"/>
        </w:rPr>
        <w:t xml:space="preserve">Other policy areas.  </w:t>
      </w:r>
    </w:p>
    <w:p w:rsidR="00EB780B" w:rsidRDefault="00EB780B" w:rsidP="005C799F">
      <w:pPr>
        <w:pStyle w:val="Lijstalinea"/>
        <w:numPr>
          <w:ilvl w:val="0"/>
          <w:numId w:val="20"/>
        </w:numPr>
        <w:jc w:val="both"/>
        <w:rPr>
          <w:lang w:val="en-GB" w:eastAsia="en-US"/>
        </w:rPr>
      </w:pPr>
      <w:r>
        <w:rPr>
          <w:lang w:val="en-GB" w:eastAsia="en-US"/>
        </w:rPr>
        <w:t>Providing support for the important role of teacher educators.</w:t>
      </w:r>
    </w:p>
    <w:p w:rsidR="00EB780B" w:rsidRDefault="00EB780B" w:rsidP="005C799F">
      <w:pPr>
        <w:pStyle w:val="Lijstalinea"/>
        <w:numPr>
          <w:ilvl w:val="0"/>
          <w:numId w:val="20"/>
        </w:numPr>
        <w:jc w:val="both"/>
        <w:rPr>
          <w:lang w:val="en-GB" w:eastAsia="en-US"/>
        </w:rPr>
      </w:pPr>
      <w:r>
        <w:rPr>
          <w:lang w:val="en-GB" w:eastAsia="en-US"/>
        </w:rPr>
        <w:t xml:space="preserve">Higher Education, with an emphasis on participation by underrepresented groups, regional engagement role of Higher Education institutions, and the EU University </w:t>
      </w:r>
      <w:proofErr w:type="spellStart"/>
      <w:r>
        <w:rPr>
          <w:lang w:val="en-GB" w:eastAsia="en-US"/>
        </w:rPr>
        <w:t>Multiranking</w:t>
      </w:r>
      <w:proofErr w:type="spellEnd"/>
      <w:r>
        <w:rPr>
          <w:lang w:val="en-GB" w:eastAsia="en-US"/>
        </w:rPr>
        <w:t xml:space="preserve"> project.</w:t>
      </w:r>
    </w:p>
    <w:p w:rsidR="00EB780B" w:rsidRDefault="00EB780B" w:rsidP="005C799F">
      <w:pPr>
        <w:pStyle w:val="Lijstalinea"/>
        <w:numPr>
          <w:ilvl w:val="0"/>
          <w:numId w:val="20"/>
        </w:numPr>
        <w:jc w:val="both"/>
        <w:rPr>
          <w:lang w:val="en-GB" w:eastAsia="en-US"/>
        </w:rPr>
      </w:pPr>
      <w:r>
        <w:rPr>
          <w:lang w:val="en-GB" w:eastAsia="en-US"/>
        </w:rPr>
        <w:t>EQF.  It is important that education and training leading to qualifications that are referenced to the EQF are supported by robust quality assurance arrangements.</w:t>
      </w:r>
    </w:p>
    <w:p w:rsidR="00EB780B" w:rsidRDefault="00EB780B" w:rsidP="005C799F">
      <w:pPr>
        <w:jc w:val="both"/>
        <w:rPr>
          <w:lang w:val="en-GB" w:eastAsia="en-US"/>
        </w:rPr>
      </w:pPr>
      <w:r>
        <w:rPr>
          <w:lang w:val="en-GB" w:eastAsia="en-US"/>
        </w:rPr>
        <w:t xml:space="preserve">Read more: </w:t>
      </w:r>
      <w:hyperlink r:id="rId11" w:history="1">
        <w:r w:rsidRPr="00EB780B">
          <w:rPr>
            <w:rStyle w:val="Hyperlink"/>
            <w:lang w:val="en-GB" w:eastAsia="en-US"/>
          </w:rPr>
          <w:t>the programme</w:t>
        </w:r>
      </w:hyperlink>
      <w:r>
        <w:rPr>
          <w:lang w:val="en-GB" w:eastAsia="en-US"/>
        </w:rPr>
        <w:t xml:space="preserve"> and the website of the Irish Presidency:  </w:t>
      </w:r>
      <w:hyperlink r:id="rId12" w:history="1">
        <w:r w:rsidRPr="00AA71EF">
          <w:rPr>
            <w:rStyle w:val="Hyperlink"/>
            <w:lang w:val="en-GB" w:eastAsia="en-US"/>
          </w:rPr>
          <w:t>http://eu2013.ie</w:t>
        </w:r>
      </w:hyperlink>
      <w:r>
        <w:rPr>
          <w:lang w:val="en-GB" w:eastAsia="en-US"/>
        </w:rPr>
        <w:t xml:space="preserve">. </w:t>
      </w:r>
    </w:p>
    <w:p w:rsidR="00A94C90" w:rsidRDefault="00A94C90" w:rsidP="00A94C90">
      <w:pPr>
        <w:pStyle w:val="Kop2"/>
        <w:numPr>
          <w:ilvl w:val="1"/>
          <w:numId w:val="16"/>
        </w:numPr>
        <w:rPr>
          <w:lang w:val="en-GB" w:eastAsia="en-US"/>
        </w:rPr>
      </w:pPr>
      <w:r>
        <w:rPr>
          <w:lang w:val="en-GB" w:eastAsia="en-US"/>
        </w:rPr>
        <w:t>The work programme of the Lithuanian Presidency</w:t>
      </w:r>
    </w:p>
    <w:p w:rsidR="00A94C90" w:rsidRDefault="00A94C90" w:rsidP="00A94C90">
      <w:pPr>
        <w:rPr>
          <w:lang w:val="en-GB" w:eastAsia="en-US"/>
        </w:rPr>
      </w:pPr>
      <w:r>
        <w:rPr>
          <w:lang w:val="en-GB" w:eastAsia="en-US"/>
        </w:rPr>
        <w:t xml:space="preserve">The work programme of the Lithuanian Presidency has been presented at the meeting of the Education, Youth, Culture and Sports Council on 17 May 2013.   </w:t>
      </w:r>
    </w:p>
    <w:p w:rsidR="00A94C90" w:rsidRDefault="00A94C90" w:rsidP="00A94C90">
      <w:pPr>
        <w:rPr>
          <w:lang w:val="en-GB" w:eastAsia="en-US"/>
        </w:rPr>
      </w:pPr>
      <w:r>
        <w:rPr>
          <w:lang w:val="en-GB" w:eastAsia="en-US"/>
        </w:rPr>
        <w:t>It includes the following priorities:</w:t>
      </w:r>
    </w:p>
    <w:p w:rsidR="00A94C90" w:rsidRPr="00A94C90" w:rsidRDefault="00A94C90" w:rsidP="00A94C90">
      <w:pPr>
        <w:pStyle w:val="Lijstalinea"/>
        <w:numPr>
          <w:ilvl w:val="0"/>
          <w:numId w:val="19"/>
        </w:numPr>
        <w:rPr>
          <w:lang w:val="en-GB" w:eastAsia="en-US"/>
        </w:rPr>
      </w:pPr>
      <w:r w:rsidRPr="00A94C90">
        <w:rPr>
          <w:lang w:val="en-GB" w:eastAsia="en-US"/>
        </w:rPr>
        <w:t>Quality and efficiency in education;</w:t>
      </w:r>
    </w:p>
    <w:p w:rsidR="00A94C90" w:rsidRPr="00A94C90" w:rsidRDefault="00A94C90" w:rsidP="00A94C90">
      <w:pPr>
        <w:pStyle w:val="Lijstalinea"/>
        <w:numPr>
          <w:ilvl w:val="0"/>
          <w:numId w:val="19"/>
        </w:numPr>
        <w:rPr>
          <w:lang w:val="en-GB" w:eastAsia="en-US"/>
        </w:rPr>
      </w:pPr>
      <w:r w:rsidRPr="00A94C90">
        <w:rPr>
          <w:lang w:val="en-GB" w:eastAsia="en-US"/>
        </w:rPr>
        <w:t>Internationalisation and financing of higher education systems;</w:t>
      </w:r>
    </w:p>
    <w:p w:rsidR="00A94C90" w:rsidRPr="00A94C90" w:rsidRDefault="00A94C90" w:rsidP="00A94C90">
      <w:pPr>
        <w:pStyle w:val="Lijstalinea"/>
        <w:numPr>
          <w:ilvl w:val="0"/>
          <w:numId w:val="19"/>
        </w:numPr>
        <w:rPr>
          <w:lang w:val="en-GB" w:eastAsia="en-US"/>
        </w:rPr>
      </w:pPr>
      <w:r w:rsidRPr="00A94C90">
        <w:rPr>
          <w:lang w:val="en-GB" w:eastAsia="en-US"/>
        </w:rPr>
        <w:t>Academic mobility;</w:t>
      </w:r>
    </w:p>
    <w:p w:rsidR="00A94C90" w:rsidRPr="00A94C90" w:rsidRDefault="00A94C90" w:rsidP="00A94C90">
      <w:pPr>
        <w:pStyle w:val="Lijstalinea"/>
        <w:numPr>
          <w:ilvl w:val="0"/>
          <w:numId w:val="19"/>
        </w:numPr>
        <w:rPr>
          <w:lang w:val="en-GB" w:eastAsia="en-US"/>
        </w:rPr>
      </w:pPr>
      <w:r w:rsidRPr="00A94C90">
        <w:rPr>
          <w:lang w:val="en-GB" w:eastAsia="en-US"/>
        </w:rPr>
        <w:t>Student employability ;</w:t>
      </w:r>
    </w:p>
    <w:p w:rsidR="00A94C90" w:rsidRPr="00A94C90" w:rsidRDefault="00A94C90" w:rsidP="00A94C90">
      <w:pPr>
        <w:pStyle w:val="Lijstalinea"/>
        <w:numPr>
          <w:ilvl w:val="0"/>
          <w:numId w:val="19"/>
        </w:numPr>
        <w:rPr>
          <w:lang w:val="en-GB" w:eastAsia="en-US"/>
        </w:rPr>
      </w:pPr>
      <w:r w:rsidRPr="00A94C90">
        <w:rPr>
          <w:lang w:val="en-GB" w:eastAsia="en-US"/>
        </w:rPr>
        <w:lastRenderedPageBreak/>
        <w:t>Eastern partnership dimension;</w:t>
      </w:r>
    </w:p>
    <w:p w:rsidR="00A94C90" w:rsidRPr="00A94C90" w:rsidRDefault="00A94C90" w:rsidP="00A94C90">
      <w:pPr>
        <w:pStyle w:val="Lijstalinea"/>
        <w:numPr>
          <w:ilvl w:val="0"/>
          <w:numId w:val="19"/>
        </w:numPr>
        <w:rPr>
          <w:lang w:val="en-GB" w:eastAsia="en-US"/>
        </w:rPr>
      </w:pPr>
      <w:r>
        <w:rPr>
          <w:lang w:val="en-GB" w:eastAsia="en-US"/>
        </w:rPr>
        <w:t>Leadership in education;</w:t>
      </w:r>
    </w:p>
    <w:p w:rsidR="00A94C90" w:rsidRDefault="00A94C90" w:rsidP="00A94C90">
      <w:pPr>
        <w:pStyle w:val="Lijstalinea"/>
        <w:numPr>
          <w:ilvl w:val="0"/>
          <w:numId w:val="19"/>
        </w:numPr>
        <w:rPr>
          <w:lang w:val="en-GB" w:eastAsia="en-US"/>
        </w:rPr>
      </w:pPr>
      <w:r w:rsidRPr="00A94C90">
        <w:rPr>
          <w:lang w:val="en-GB" w:eastAsia="en-US"/>
        </w:rPr>
        <w:t>Promotion of vocational training;</w:t>
      </w:r>
    </w:p>
    <w:p w:rsidR="00A94C90" w:rsidRPr="00A94C90" w:rsidRDefault="00A94C90" w:rsidP="00A94C90">
      <w:pPr>
        <w:pStyle w:val="Lijstalinea"/>
        <w:numPr>
          <w:ilvl w:val="0"/>
          <w:numId w:val="19"/>
        </w:numPr>
        <w:rPr>
          <w:lang w:val="en-GB" w:eastAsia="en-US"/>
        </w:rPr>
      </w:pPr>
      <w:r>
        <w:rPr>
          <w:lang w:val="en-GB" w:eastAsia="en-US"/>
        </w:rPr>
        <w:t>Development of ICT in education;</w:t>
      </w:r>
    </w:p>
    <w:p w:rsidR="00A94C90" w:rsidRDefault="00A94C90" w:rsidP="00A94C90">
      <w:pPr>
        <w:pStyle w:val="Lijstalinea"/>
        <w:numPr>
          <w:ilvl w:val="0"/>
          <w:numId w:val="19"/>
        </w:numPr>
        <w:rPr>
          <w:lang w:val="en-GB" w:eastAsia="en-US"/>
        </w:rPr>
      </w:pPr>
      <w:r w:rsidRPr="00A94C90">
        <w:rPr>
          <w:lang w:val="en-GB" w:eastAsia="en-US"/>
        </w:rPr>
        <w:t>European Capitals of Culture;</w:t>
      </w:r>
    </w:p>
    <w:p w:rsidR="00A94C90" w:rsidRPr="00A94C90" w:rsidRDefault="00A94C90" w:rsidP="00A94C90">
      <w:pPr>
        <w:pStyle w:val="Lijstalinea"/>
        <w:numPr>
          <w:ilvl w:val="0"/>
          <w:numId w:val="19"/>
        </w:numPr>
        <w:rPr>
          <w:lang w:val="en-GB" w:eastAsia="en-US"/>
        </w:rPr>
      </w:pPr>
      <w:r w:rsidRPr="00A94C90">
        <w:rPr>
          <w:lang w:val="en-GB" w:eastAsia="en-US"/>
        </w:rPr>
        <w:t>Creative Europe and Europe for Citizens;</w:t>
      </w:r>
    </w:p>
    <w:p w:rsidR="00A94C90" w:rsidRPr="00A94C90" w:rsidRDefault="00A94C90" w:rsidP="00A94C90">
      <w:pPr>
        <w:pStyle w:val="Lijstalinea"/>
        <w:numPr>
          <w:ilvl w:val="0"/>
          <w:numId w:val="19"/>
        </w:numPr>
        <w:rPr>
          <w:lang w:val="en-GB" w:eastAsia="en-US"/>
        </w:rPr>
      </w:pPr>
      <w:r w:rsidRPr="00A94C90">
        <w:rPr>
          <w:lang w:val="en-GB" w:eastAsia="en-US"/>
        </w:rPr>
        <w:t>Return of cultural objects unlawfully removed;</w:t>
      </w:r>
    </w:p>
    <w:p w:rsidR="00A94C90" w:rsidRPr="00A94C90" w:rsidRDefault="00A94C90" w:rsidP="00A94C90">
      <w:pPr>
        <w:pStyle w:val="Lijstalinea"/>
        <w:numPr>
          <w:ilvl w:val="0"/>
          <w:numId w:val="19"/>
        </w:numPr>
        <w:rPr>
          <w:lang w:val="en-GB" w:eastAsia="en-US"/>
        </w:rPr>
      </w:pPr>
      <w:r w:rsidRPr="00A94C90">
        <w:rPr>
          <w:lang w:val="en-GB" w:eastAsia="en-US"/>
        </w:rPr>
        <w:t>Cultural agreements with Peru and Colombia;</w:t>
      </w:r>
    </w:p>
    <w:p w:rsidR="00A94C90" w:rsidRPr="00A94C90" w:rsidRDefault="00A94C90" w:rsidP="00A94C90">
      <w:pPr>
        <w:pStyle w:val="Lijstalinea"/>
        <w:numPr>
          <w:ilvl w:val="0"/>
          <w:numId w:val="19"/>
        </w:numPr>
        <w:rPr>
          <w:lang w:val="en-GB" w:eastAsia="en-US"/>
        </w:rPr>
      </w:pPr>
      <w:r w:rsidRPr="00A94C90">
        <w:rPr>
          <w:lang w:val="en-GB" w:eastAsia="en-US"/>
        </w:rPr>
        <w:t>Connected TV and TV advertising;</w:t>
      </w:r>
    </w:p>
    <w:p w:rsidR="00A94C90" w:rsidRPr="00A94C90" w:rsidRDefault="00A94C90" w:rsidP="00A94C90">
      <w:pPr>
        <w:pStyle w:val="Lijstalinea"/>
        <w:numPr>
          <w:ilvl w:val="0"/>
          <w:numId w:val="19"/>
        </w:numPr>
        <w:rPr>
          <w:lang w:val="en-GB" w:eastAsia="en-US"/>
        </w:rPr>
      </w:pPr>
      <w:r w:rsidRPr="00A94C90">
        <w:rPr>
          <w:lang w:val="en-GB" w:eastAsia="en-US"/>
        </w:rPr>
        <w:t>Digital accessibility;</w:t>
      </w:r>
    </w:p>
    <w:p w:rsidR="00A94C90" w:rsidRPr="00A94C90" w:rsidRDefault="00A94C90" w:rsidP="00A94C90">
      <w:pPr>
        <w:pStyle w:val="Lijstalinea"/>
        <w:numPr>
          <w:ilvl w:val="0"/>
          <w:numId w:val="19"/>
        </w:numPr>
        <w:rPr>
          <w:lang w:val="en-GB" w:eastAsia="en-US"/>
        </w:rPr>
      </w:pPr>
      <w:r w:rsidRPr="00A94C90">
        <w:rPr>
          <w:lang w:val="en-GB" w:eastAsia="en-US"/>
        </w:rPr>
        <w:t>Eur</w:t>
      </w:r>
      <w:r>
        <w:rPr>
          <w:lang w:val="en-GB" w:eastAsia="en-US"/>
        </w:rPr>
        <w:t>opean cinema in the digital age;</w:t>
      </w:r>
    </w:p>
    <w:p w:rsidR="00A94C90" w:rsidRPr="00A94C90" w:rsidRDefault="00A94C90" w:rsidP="00A94C90">
      <w:pPr>
        <w:pStyle w:val="Lijstalinea"/>
        <w:numPr>
          <w:ilvl w:val="0"/>
          <w:numId w:val="19"/>
        </w:numPr>
        <w:rPr>
          <w:lang w:val="en-GB" w:eastAsia="en-US"/>
        </w:rPr>
      </w:pPr>
      <w:r>
        <w:rPr>
          <w:lang w:val="en-GB" w:eastAsia="en-US"/>
        </w:rPr>
        <w:t>T</w:t>
      </w:r>
      <w:r w:rsidRPr="00A94C90">
        <w:rPr>
          <w:lang w:val="en-GB" w:eastAsia="en-US"/>
        </w:rPr>
        <w:t>he fight against doping and promoting the integrity of sport;</w:t>
      </w:r>
    </w:p>
    <w:p w:rsidR="00A94C90" w:rsidRPr="00A94C90" w:rsidRDefault="00A94C90" w:rsidP="00A94C90">
      <w:pPr>
        <w:pStyle w:val="Lijstalinea"/>
        <w:numPr>
          <w:ilvl w:val="0"/>
          <w:numId w:val="19"/>
        </w:numPr>
        <w:rPr>
          <w:lang w:val="en-GB" w:eastAsia="en-US"/>
        </w:rPr>
      </w:pPr>
      <w:r w:rsidRPr="00A94C90">
        <w:rPr>
          <w:lang w:val="en-GB" w:eastAsia="en-US"/>
        </w:rPr>
        <w:t>good governance;</w:t>
      </w:r>
    </w:p>
    <w:p w:rsidR="00A94C90" w:rsidRPr="00A94C90" w:rsidRDefault="00A94C90" w:rsidP="00A94C90">
      <w:pPr>
        <w:pStyle w:val="Lijstalinea"/>
        <w:numPr>
          <w:ilvl w:val="0"/>
          <w:numId w:val="19"/>
        </w:numPr>
        <w:rPr>
          <w:lang w:val="en-GB" w:eastAsia="en-US"/>
        </w:rPr>
      </w:pPr>
      <w:proofErr w:type="gramStart"/>
      <w:r w:rsidRPr="00A94C90">
        <w:rPr>
          <w:lang w:val="en-GB" w:eastAsia="en-US"/>
        </w:rPr>
        <w:t>sustainable</w:t>
      </w:r>
      <w:proofErr w:type="gramEnd"/>
      <w:r w:rsidRPr="00A94C90">
        <w:rPr>
          <w:lang w:val="en-GB" w:eastAsia="en-US"/>
        </w:rPr>
        <w:t xml:space="preserve"> financing.</w:t>
      </w:r>
    </w:p>
    <w:p w:rsidR="008844B9" w:rsidRPr="00EB780B" w:rsidRDefault="00A94C90" w:rsidP="00A94C90">
      <w:pPr>
        <w:rPr>
          <w:lang w:val="en-GB" w:eastAsia="en-US"/>
        </w:rPr>
      </w:pPr>
      <w:r w:rsidRPr="00A94C90">
        <w:rPr>
          <w:lang w:val="en-GB" w:eastAsia="en-US"/>
        </w:rPr>
        <w:t>The Council took note of information from the Lithuanian delegation on the future Presidency work</w:t>
      </w:r>
      <w:r>
        <w:rPr>
          <w:lang w:val="en-GB" w:eastAsia="en-US"/>
        </w:rPr>
        <w:t xml:space="preserve"> </w:t>
      </w:r>
      <w:r w:rsidRPr="00A94C90">
        <w:rPr>
          <w:lang w:val="en-GB" w:eastAsia="en-US"/>
        </w:rPr>
        <w:t>programme, which will be mainly focused on social inclusion, in particular concerning the young</w:t>
      </w:r>
      <w:r>
        <w:rPr>
          <w:lang w:val="en-GB" w:eastAsia="en-US"/>
        </w:rPr>
        <w:t xml:space="preserve"> </w:t>
      </w:r>
      <w:r w:rsidRPr="00A94C90">
        <w:rPr>
          <w:lang w:val="en-GB" w:eastAsia="en-US"/>
        </w:rPr>
        <w:t>people not in education, employment, or training (NEET’s).</w:t>
      </w:r>
    </w:p>
    <w:p w:rsidR="004170C1" w:rsidRDefault="00B65A86" w:rsidP="00B65A86">
      <w:pPr>
        <w:pStyle w:val="Kop2"/>
        <w:numPr>
          <w:ilvl w:val="1"/>
          <w:numId w:val="16"/>
        </w:numPr>
        <w:rPr>
          <w:lang w:val="en-GB" w:eastAsia="en-US"/>
        </w:rPr>
      </w:pPr>
      <w:r>
        <w:rPr>
          <w:lang w:val="en-GB" w:eastAsia="en-US"/>
        </w:rPr>
        <w:t>The Multiannual Financial Framework (MFF)</w:t>
      </w:r>
    </w:p>
    <w:p w:rsidR="00B65A86" w:rsidRDefault="00B65A86" w:rsidP="00B65A86">
      <w:pPr>
        <w:rPr>
          <w:lang w:val="en-GB" w:eastAsia="en-US"/>
        </w:rPr>
      </w:pPr>
      <w:r>
        <w:rPr>
          <w:lang w:val="en-GB" w:eastAsia="en-US"/>
        </w:rPr>
        <w:t>European Council, 7-8 February 2013</w:t>
      </w:r>
    </w:p>
    <w:p w:rsidR="00B65A86" w:rsidRDefault="00B65A86" w:rsidP="005C799F">
      <w:pPr>
        <w:jc w:val="both"/>
        <w:rPr>
          <w:lang w:val="en-GB" w:eastAsia="en-US"/>
        </w:rPr>
      </w:pPr>
      <w:r>
        <w:rPr>
          <w:lang w:val="en-GB" w:eastAsia="en-US"/>
        </w:rPr>
        <w:t xml:space="preserve">The European Council reached agreement on the new MFF that will cover the seven years between 2014 and 2020, drawn up for </w:t>
      </w:r>
      <w:proofErr w:type="gramStart"/>
      <w:r>
        <w:rPr>
          <w:lang w:val="en-GB" w:eastAsia="en-US"/>
        </w:rPr>
        <w:t>a</w:t>
      </w:r>
      <w:proofErr w:type="gramEnd"/>
      <w:r>
        <w:rPr>
          <w:lang w:val="en-GB" w:eastAsia="en-US"/>
        </w:rPr>
        <w:t xml:space="preserve"> EU comprising 28 Member States.</w:t>
      </w:r>
    </w:p>
    <w:p w:rsidR="00B65A86" w:rsidRDefault="00B65A86" w:rsidP="005C799F">
      <w:pPr>
        <w:jc w:val="both"/>
        <w:rPr>
          <w:lang w:val="en-GB" w:eastAsia="en-US"/>
        </w:rPr>
      </w:pPr>
      <w:r>
        <w:rPr>
          <w:lang w:val="en-GB" w:eastAsia="en-US"/>
        </w:rPr>
        <w:t>The first sub-heading under part I: ‘Expenditure’ is ‘Competitiveness for growth and jobs’.  Smart and inclusive growth corresponds to an area where EU actions has significant value added.  Given their particular contribution to the objectives of the Europe 2020 Strategy, the funding for Horizon 2020 and Erasmus for all programmes will represent a real growth compared to 2013 level.</w:t>
      </w:r>
    </w:p>
    <w:p w:rsidR="0096540F" w:rsidRPr="0096540F" w:rsidRDefault="00B65A86" w:rsidP="008844B9">
      <w:pPr>
        <w:jc w:val="both"/>
        <w:rPr>
          <w:lang w:val="en-GB" w:eastAsia="en-US"/>
        </w:rPr>
      </w:pPr>
      <w:r>
        <w:rPr>
          <w:lang w:val="en-GB" w:eastAsia="en-US"/>
        </w:rPr>
        <w:t xml:space="preserve">Read more: </w:t>
      </w:r>
      <w:hyperlink r:id="rId13" w:history="1">
        <w:r w:rsidRPr="00B65A86">
          <w:rPr>
            <w:rStyle w:val="Hyperlink"/>
            <w:lang w:val="en-GB" w:eastAsia="en-US"/>
          </w:rPr>
          <w:t>the conclusions</w:t>
        </w:r>
      </w:hyperlink>
    </w:p>
    <w:p w:rsidR="0096540F" w:rsidRDefault="0096540F" w:rsidP="0096540F">
      <w:pPr>
        <w:pStyle w:val="Kop1"/>
        <w:numPr>
          <w:ilvl w:val="0"/>
          <w:numId w:val="16"/>
        </w:numPr>
        <w:rPr>
          <w:rFonts w:eastAsia="Times New Roman"/>
          <w:lang w:val="en-GB"/>
        </w:rPr>
      </w:pPr>
      <w:r>
        <w:rPr>
          <w:rFonts w:eastAsia="Times New Roman"/>
          <w:lang w:val="en-GB"/>
        </w:rPr>
        <w:t xml:space="preserve">Education and training </w:t>
      </w:r>
    </w:p>
    <w:p w:rsidR="003C250C" w:rsidRPr="003C250C" w:rsidRDefault="0096540F" w:rsidP="0096540F">
      <w:pPr>
        <w:pStyle w:val="Kop2"/>
        <w:rPr>
          <w:rFonts w:eastAsia="Times New Roman"/>
          <w:lang w:val="en-GB"/>
        </w:rPr>
      </w:pPr>
      <w:r>
        <w:rPr>
          <w:rFonts w:eastAsia="Times New Roman"/>
          <w:lang w:val="en-GB"/>
        </w:rPr>
        <w:t xml:space="preserve">2.1 </w:t>
      </w:r>
      <w:r w:rsidR="00387FF3">
        <w:rPr>
          <w:rFonts w:eastAsia="Times New Roman"/>
          <w:lang w:val="en-GB"/>
        </w:rPr>
        <w:t xml:space="preserve">February </w:t>
      </w:r>
      <w:r w:rsidR="003C250C" w:rsidRPr="003C250C">
        <w:rPr>
          <w:rFonts w:eastAsia="Times New Roman"/>
          <w:lang w:val="en-GB"/>
        </w:rPr>
        <w:t>Education, youth, culture and sport council meeting</w:t>
      </w:r>
    </w:p>
    <w:p w:rsidR="003C250C" w:rsidRDefault="003C250C" w:rsidP="0042542D">
      <w:pPr>
        <w:rPr>
          <w:rFonts w:eastAsia="Times New Roman"/>
          <w:lang w:val="en-GB" w:eastAsia="nl-NL"/>
        </w:rPr>
      </w:pPr>
      <w:r>
        <w:rPr>
          <w:rFonts w:eastAsia="Times New Roman"/>
          <w:lang w:val="en-GB" w:eastAsia="nl-NL"/>
        </w:rPr>
        <w:t>Brussels, 15 February 2013</w:t>
      </w:r>
    </w:p>
    <w:p w:rsidR="003C250C" w:rsidRPr="003C250C" w:rsidRDefault="003C250C" w:rsidP="005C799F">
      <w:pPr>
        <w:jc w:val="both"/>
        <w:rPr>
          <w:rFonts w:eastAsia="Times New Roman"/>
          <w:lang w:val="en-GB" w:eastAsia="nl-NL"/>
        </w:rPr>
      </w:pPr>
      <w:r w:rsidRPr="003C250C">
        <w:rPr>
          <w:rFonts w:eastAsia="Times New Roman"/>
          <w:lang w:val="en-GB" w:eastAsia="nl-NL"/>
        </w:rPr>
        <w:t>The Council adopted conclusions on investing in education and training, in response to the recent Commission communication "Reth</w:t>
      </w:r>
      <w:r w:rsidR="005C799F">
        <w:rPr>
          <w:rFonts w:eastAsia="Times New Roman"/>
          <w:lang w:val="en-GB" w:eastAsia="nl-NL"/>
        </w:rPr>
        <w:t>inking Education" (see point 2.2</w:t>
      </w:r>
      <w:r w:rsidRPr="003C250C">
        <w:rPr>
          <w:rFonts w:eastAsia="Times New Roman"/>
          <w:lang w:val="en-GB" w:eastAsia="nl-NL"/>
        </w:rPr>
        <w:t>)</w:t>
      </w:r>
    </w:p>
    <w:p w:rsidR="00AB7A6A" w:rsidRPr="00AB7A6A" w:rsidRDefault="003C250C" w:rsidP="005C799F">
      <w:pPr>
        <w:jc w:val="both"/>
        <w:rPr>
          <w:rFonts w:eastAsia="Times New Roman"/>
          <w:lang w:val="en-GB" w:eastAsia="nl-NL"/>
        </w:rPr>
      </w:pPr>
      <w:r w:rsidRPr="003C250C">
        <w:rPr>
          <w:rFonts w:eastAsia="Times New Roman"/>
          <w:lang w:val="en-GB" w:eastAsia="nl-NL"/>
        </w:rPr>
        <w:t>It also held a policy debate on "Education and Skills for Jobs, Stability and Growth", in the context of the European Semester and in particular the education aspects of the 2013 Annual Growth Survey.</w:t>
      </w:r>
      <w:r w:rsidR="00AB7A6A" w:rsidRPr="005C799F">
        <w:rPr>
          <w:rFonts w:eastAsia="Times New Roman"/>
          <w:lang w:val="en-GB" w:eastAsia="nl-NL"/>
        </w:rPr>
        <w:t xml:space="preserve"> </w:t>
      </w:r>
    </w:p>
    <w:p w:rsidR="003C250C" w:rsidRDefault="00AB7A6A" w:rsidP="005C799F">
      <w:pPr>
        <w:jc w:val="both"/>
        <w:rPr>
          <w:rFonts w:eastAsia="Times New Roman"/>
          <w:lang w:val="en-GB" w:eastAsia="nl-NL"/>
        </w:rPr>
      </w:pPr>
      <w:r>
        <w:rPr>
          <w:rFonts w:eastAsia="Times New Roman"/>
          <w:lang w:val="en-GB" w:eastAsia="nl-NL"/>
        </w:rPr>
        <w:t>Ministers</w:t>
      </w:r>
      <w:r w:rsidRPr="00AB7A6A">
        <w:rPr>
          <w:rFonts w:eastAsia="Times New Roman"/>
          <w:lang w:val="en-GB" w:eastAsia="nl-NL"/>
        </w:rPr>
        <w:t xml:space="preserve"> were also asked to briefly highlight one practical initiative in their member state, including</w:t>
      </w:r>
      <w:r w:rsidR="005C799F">
        <w:rPr>
          <w:rFonts w:eastAsia="Times New Roman"/>
          <w:lang w:val="en-GB" w:eastAsia="nl-NL"/>
        </w:rPr>
        <w:t xml:space="preserve"> </w:t>
      </w:r>
      <w:r w:rsidRPr="00AB7A6A">
        <w:rPr>
          <w:rFonts w:eastAsia="Times New Roman"/>
          <w:lang w:val="en-GB" w:eastAsia="nl-NL"/>
        </w:rPr>
        <w:t>any action that they may be taking in response to relevant country-specific recommendations.</w:t>
      </w:r>
      <w:r w:rsidR="005C799F">
        <w:rPr>
          <w:rFonts w:eastAsia="Times New Roman"/>
          <w:lang w:val="en-GB" w:eastAsia="nl-NL"/>
        </w:rPr>
        <w:t xml:space="preserve"> </w:t>
      </w:r>
      <w:r w:rsidRPr="00AB7A6A">
        <w:rPr>
          <w:rFonts w:eastAsia="Times New Roman"/>
          <w:lang w:val="en-GB" w:eastAsia="nl-NL"/>
        </w:rPr>
        <w:t>With a view to making the debate more open and interactive, the Presidency invited two guest lead</w:t>
      </w:r>
      <w:r w:rsidR="005C799F">
        <w:rPr>
          <w:rFonts w:eastAsia="Times New Roman"/>
          <w:lang w:val="en-GB" w:eastAsia="nl-NL"/>
        </w:rPr>
        <w:t xml:space="preserve"> </w:t>
      </w:r>
      <w:r w:rsidRPr="00AB7A6A">
        <w:rPr>
          <w:rFonts w:eastAsia="Times New Roman"/>
          <w:lang w:val="en-GB" w:eastAsia="nl-NL"/>
        </w:rPr>
        <w:t>speakers: Lord David PUTTNAM, Chancellor of the UK's Open University and well-known film</w:t>
      </w:r>
      <w:r w:rsidR="005C799F">
        <w:rPr>
          <w:rFonts w:eastAsia="Times New Roman"/>
          <w:lang w:val="en-GB" w:eastAsia="nl-NL"/>
        </w:rPr>
        <w:t xml:space="preserve"> </w:t>
      </w:r>
      <w:r w:rsidRPr="00AB7A6A">
        <w:rPr>
          <w:rFonts w:eastAsia="Times New Roman"/>
          <w:lang w:val="en-GB" w:eastAsia="nl-NL"/>
        </w:rPr>
        <w:lastRenderedPageBreak/>
        <w:t>producer, and Mr Andreas SCHLEICHER, Director for Education and Special Advisor on</w:t>
      </w:r>
      <w:r w:rsidR="005C799F">
        <w:rPr>
          <w:rFonts w:eastAsia="Times New Roman"/>
          <w:lang w:val="en-GB" w:eastAsia="nl-NL"/>
        </w:rPr>
        <w:t xml:space="preserve"> </w:t>
      </w:r>
      <w:r w:rsidRPr="00AB7A6A">
        <w:rPr>
          <w:rFonts w:eastAsia="Times New Roman"/>
          <w:lang w:val="en-GB" w:eastAsia="nl-NL"/>
        </w:rPr>
        <w:t>Education Policy from the OECD.</w:t>
      </w:r>
    </w:p>
    <w:p w:rsidR="00AB7A6A" w:rsidRPr="003C250C" w:rsidRDefault="00AB7A6A" w:rsidP="005C799F">
      <w:pPr>
        <w:jc w:val="both"/>
        <w:rPr>
          <w:rFonts w:eastAsia="Times New Roman"/>
          <w:lang w:val="en-GB" w:eastAsia="nl-NL"/>
        </w:rPr>
      </w:pPr>
      <w:r w:rsidRPr="005C799F">
        <w:rPr>
          <w:rFonts w:eastAsia="Times New Roman"/>
          <w:lang w:val="en-GB" w:eastAsia="nl-NL"/>
        </w:rPr>
        <w:t>The Council took note of oral information from the Presidency on the state of play concerning the</w:t>
      </w:r>
      <w:r w:rsidR="008844B9">
        <w:rPr>
          <w:rFonts w:eastAsia="Times New Roman"/>
          <w:lang w:val="en-GB" w:eastAsia="nl-NL"/>
        </w:rPr>
        <w:t xml:space="preserve"> </w:t>
      </w:r>
      <w:r w:rsidRPr="005C799F">
        <w:rPr>
          <w:rFonts w:eastAsia="Times New Roman"/>
          <w:lang w:val="en-GB" w:eastAsia="nl-NL"/>
        </w:rPr>
        <w:t>proposal for a regulation establishing "Erasmus for all": the Union Programme for Education,</w:t>
      </w:r>
      <w:r w:rsidR="005C799F">
        <w:rPr>
          <w:rFonts w:eastAsia="Times New Roman"/>
          <w:lang w:val="en-GB" w:eastAsia="nl-NL"/>
        </w:rPr>
        <w:t xml:space="preserve"> </w:t>
      </w:r>
      <w:r w:rsidRPr="005C799F">
        <w:rPr>
          <w:rFonts w:eastAsia="Times New Roman"/>
          <w:lang w:val="en-GB" w:eastAsia="nl-NL"/>
        </w:rPr>
        <w:t>Training, Youth and Sport.</w:t>
      </w:r>
      <w:r w:rsidR="005C799F">
        <w:rPr>
          <w:rFonts w:eastAsia="Times New Roman"/>
          <w:lang w:val="en-GB" w:eastAsia="nl-NL"/>
        </w:rPr>
        <w:t xml:space="preserve"> (</w:t>
      </w:r>
      <w:proofErr w:type="gramStart"/>
      <w:r w:rsidR="005C799F">
        <w:rPr>
          <w:rFonts w:eastAsia="Times New Roman"/>
          <w:lang w:val="en-GB" w:eastAsia="nl-NL"/>
        </w:rPr>
        <w:t>see</w:t>
      </w:r>
      <w:proofErr w:type="gramEnd"/>
      <w:r w:rsidR="005C799F">
        <w:rPr>
          <w:rFonts w:eastAsia="Times New Roman"/>
          <w:lang w:val="en-GB" w:eastAsia="nl-NL"/>
        </w:rPr>
        <w:t xml:space="preserve"> point 2.3</w:t>
      </w:r>
      <w:r w:rsidRPr="005C799F">
        <w:rPr>
          <w:rFonts w:eastAsia="Times New Roman"/>
          <w:lang w:val="en-GB" w:eastAsia="nl-NL"/>
        </w:rPr>
        <w:t>)</w:t>
      </w:r>
    </w:p>
    <w:p w:rsidR="003C250C" w:rsidRDefault="005C799F" w:rsidP="005C799F">
      <w:pPr>
        <w:autoSpaceDE w:val="0"/>
        <w:autoSpaceDN w:val="0"/>
        <w:adjustRightInd w:val="0"/>
        <w:spacing w:after="0" w:line="240" w:lineRule="auto"/>
        <w:jc w:val="both"/>
        <w:rPr>
          <w:rFonts w:eastAsia="Times New Roman"/>
          <w:lang w:val="en-GB" w:eastAsia="nl-NL"/>
        </w:rPr>
      </w:pPr>
      <w:r>
        <w:rPr>
          <w:rFonts w:eastAsia="Times New Roman"/>
          <w:lang w:val="en-GB" w:eastAsia="nl-NL"/>
        </w:rPr>
        <w:t xml:space="preserve">Read more: </w:t>
      </w:r>
      <w:hyperlink r:id="rId14" w:history="1">
        <w:r w:rsidRPr="005C799F">
          <w:rPr>
            <w:rStyle w:val="Hyperlink"/>
            <w:rFonts w:eastAsia="Times New Roman"/>
            <w:lang w:val="en-GB" w:eastAsia="nl-NL"/>
          </w:rPr>
          <w:t>Press release of the Council</w:t>
        </w:r>
      </w:hyperlink>
      <w:r w:rsidR="003C250C" w:rsidRPr="003C250C">
        <w:rPr>
          <w:lang w:val="en-GB"/>
        </w:rPr>
        <w:t xml:space="preserve"> </w:t>
      </w:r>
    </w:p>
    <w:p w:rsidR="003C250C" w:rsidRDefault="003C250C" w:rsidP="003C250C">
      <w:pPr>
        <w:autoSpaceDE w:val="0"/>
        <w:autoSpaceDN w:val="0"/>
        <w:adjustRightInd w:val="0"/>
        <w:spacing w:after="0" w:line="240" w:lineRule="auto"/>
        <w:rPr>
          <w:rFonts w:eastAsia="Times New Roman"/>
          <w:lang w:val="en-GB" w:eastAsia="nl-NL"/>
        </w:rPr>
      </w:pPr>
    </w:p>
    <w:p w:rsidR="003C250C" w:rsidRDefault="0096540F" w:rsidP="0096540F">
      <w:pPr>
        <w:pStyle w:val="Kop2"/>
        <w:rPr>
          <w:rFonts w:eastAsia="Times New Roman"/>
          <w:lang w:val="en-GB"/>
        </w:rPr>
      </w:pPr>
      <w:r>
        <w:rPr>
          <w:rFonts w:eastAsia="Times New Roman"/>
          <w:lang w:val="en-GB"/>
        </w:rPr>
        <w:t xml:space="preserve">2.2 </w:t>
      </w:r>
      <w:r w:rsidR="003C250C" w:rsidRPr="003C250C">
        <w:rPr>
          <w:rFonts w:eastAsia="Times New Roman"/>
          <w:lang w:val="en-GB"/>
        </w:rPr>
        <w:t>Council conclusions on investing in education and training – response to Rethinking Education: Investing in skills for better socio-economic outcomes and the 2013 Annual Growth Survey</w:t>
      </w:r>
    </w:p>
    <w:p w:rsidR="005C799F" w:rsidRPr="005C799F" w:rsidRDefault="005C799F" w:rsidP="005C799F">
      <w:pPr>
        <w:rPr>
          <w:lang w:val="en-GB"/>
        </w:rPr>
      </w:pPr>
      <w:r>
        <w:rPr>
          <w:lang w:val="en-GB"/>
        </w:rPr>
        <w:t>EYCS Council, 15 February 2013</w:t>
      </w:r>
    </w:p>
    <w:p w:rsidR="003C250C" w:rsidRDefault="003C250C" w:rsidP="005C799F">
      <w:pPr>
        <w:jc w:val="both"/>
        <w:rPr>
          <w:rFonts w:eastAsia="Times New Roman"/>
          <w:lang w:val="en-GB" w:eastAsia="nl-NL"/>
        </w:rPr>
      </w:pPr>
      <w:r w:rsidRPr="003C250C">
        <w:rPr>
          <w:rFonts w:eastAsia="Times New Roman"/>
          <w:lang w:val="en-GB" w:eastAsia="nl-NL"/>
        </w:rPr>
        <w:t>The Council adopted conclusions on investing in education and training, which are a response to the</w:t>
      </w:r>
      <w:r w:rsidR="005C799F">
        <w:rPr>
          <w:rFonts w:eastAsia="Times New Roman"/>
          <w:lang w:val="en-GB" w:eastAsia="nl-NL"/>
        </w:rPr>
        <w:t xml:space="preserve"> </w:t>
      </w:r>
      <w:r w:rsidRPr="003C250C">
        <w:rPr>
          <w:rFonts w:eastAsia="Times New Roman"/>
          <w:lang w:val="en-GB" w:eastAsia="nl-NL"/>
        </w:rPr>
        <w:t>Commission communication "Rethinking Education" and to the education aspects of the</w:t>
      </w:r>
      <w:r w:rsidR="005C799F">
        <w:rPr>
          <w:rFonts w:eastAsia="Times New Roman"/>
          <w:lang w:val="en-GB" w:eastAsia="nl-NL"/>
        </w:rPr>
        <w:t xml:space="preserve"> </w:t>
      </w:r>
      <w:r>
        <w:rPr>
          <w:rFonts w:eastAsia="Times New Roman"/>
          <w:lang w:val="en-GB" w:eastAsia="nl-NL"/>
        </w:rPr>
        <w:t>2013 Annual Growth Survey</w:t>
      </w:r>
      <w:r w:rsidRPr="003C250C">
        <w:rPr>
          <w:rFonts w:eastAsia="Times New Roman"/>
          <w:lang w:val="en-GB" w:eastAsia="nl-NL"/>
        </w:rPr>
        <w:t>, as called for by the</w:t>
      </w:r>
      <w:r>
        <w:rPr>
          <w:rFonts w:eastAsia="Times New Roman"/>
          <w:lang w:val="en-GB" w:eastAsia="nl-NL"/>
        </w:rPr>
        <w:t xml:space="preserve"> </w:t>
      </w:r>
      <w:r w:rsidRPr="003C250C">
        <w:rPr>
          <w:rFonts w:eastAsia="Times New Roman"/>
          <w:lang w:val="en-GB" w:eastAsia="nl-NL"/>
        </w:rPr>
        <w:t>European Co</w:t>
      </w:r>
      <w:r>
        <w:rPr>
          <w:rFonts w:eastAsia="Times New Roman"/>
          <w:lang w:val="en-GB" w:eastAsia="nl-NL"/>
        </w:rPr>
        <w:t>uncil of 13-14 December 2012.</w:t>
      </w:r>
    </w:p>
    <w:p w:rsidR="003C250C" w:rsidRPr="003C250C" w:rsidRDefault="003C250C" w:rsidP="005C799F">
      <w:pPr>
        <w:jc w:val="both"/>
        <w:rPr>
          <w:rFonts w:eastAsia="Times New Roman"/>
          <w:lang w:val="en-GB" w:eastAsia="nl-NL"/>
        </w:rPr>
      </w:pPr>
      <w:r w:rsidRPr="003C250C">
        <w:rPr>
          <w:rFonts w:eastAsia="Times New Roman"/>
          <w:lang w:val="en-GB" w:eastAsia="nl-NL"/>
        </w:rPr>
        <w:t>The conclusions highlight priority areas for education and training reform with particular emphasis</w:t>
      </w:r>
      <w:r w:rsidR="005C799F">
        <w:rPr>
          <w:rFonts w:eastAsia="Times New Roman"/>
          <w:lang w:val="en-GB" w:eastAsia="nl-NL"/>
        </w:rPr>
        <w:t xml:space="preserve"> </w:t>
      </w:r>
      <w:r w:rsidRPr="003C250C">
        <w:rPr>
          <w:rFonts w:eastAsia="Times New Roman"/>
          <w:lang w:val="en-GB" w:eastAsia="nl-NL"/>
        </w:rPr>
        <w:t>on improving overall skills and competence levels in order to boost employability and reduce youth</w:t>
      </w:r>
      <w:r w:rsidR="005C799F">
        <w:rPr>
          <w:rFonts w:eastAsia="Times New Roman"/>
          <w:lang w:val="en-GB" w:eastAsia="nl-NL"/>
        </w:rPr>
        <w:t xml:space="preserve"> </w:t>
      </w:r>
      <w:r w:rsidRPr="003C250C">
        <w:rPr>
          <w:rFonts w:eastAsia="Times New Roman"/>
          <w:lang w:val="en-GB" w:eastAsia="nl-NL"/>
        </w:rPr>
        <w:t>unemployment. Moreover, they aim at strengthening the link between Europe 2020 goals and the</w:t>
      </w:r>
      <w:r w:rsidR="005C799F">
        <w:rPr>
          <w:rFonts w:eastAsia="Times New Roman"/>
          <w:lang w:val="en-GB" w:eastAsia="nl-NL"/>
        </w:rPr>
        <w:t xml:space="preserve"> </w:t>
      </w:r>
      <w:r w:rsidRPr="003C250C">
        <w:rPr>
          <w:rFonts w:eastAsia="Times New Roman"/>
          <w:lang w:val="en-GB" w:eastAsia="nl-NL"/>
        </w:rPr>
        <w:t>open method of coordinati</w:t>
      </w:r>
      <w:r w:rsidR="00C5589B">
        <w:rPr>
          <w:rFonts w:eastAsia="Times New Roman"/>
          <w:lang w:val="en-GB" w:eastAsia="nl-NL"/>
        </w:rPr>
        <w:t>on (OMC) in the education field</w:t>
      </w:r>
      <w:r w:rsidRPr="003C250C">
        <w:rPr>
          <w:rFonts w:eastAsia="Times New Roman"/>
          <w:lang w:val="en-GB" w:eastAsia="nl-NL"/>
        </w:rPr>
        <w:t>, seeking to promote closer collaboration</w:t>
      </w:r>
      <w:r w:rsidR="005C799F">
        <w:rPr>
          <w:rFonts w:eastAsia="Times New Roman"/>
          <w:lang w:val="en-GB" w:eastAsia="nl-NL"/>
        </w:rPr>
        <w:t xml:space="preserve"> </w:t>
      </w:r>
      <w:r w:rsidRPr="003C250C">
        <w:rPr>
          <w:rFonts w:eastAsia="Times New Roman"/>
          <w:lang w:val="en-GB" w:eastAsia="nl-NL"/>
        </w:rPr>
        <w:t>with other relevant policy committees such as the Economic Policy Committee and the</w:t>
      </w:r>
      <w:r w:rsidR="005C799F">
        <w:rPr>
          <w:rFonts w:eastAsia="Times New Roman"/>
          <w:lang w:val="en-GB" w:eastAsia="nl-NL"/>
        </w:rPr>
        <w:t xml:space="preserve"> </w:t>
      </w:r>
      <w:r w:rsidRPr="003C250C">
        <w:rPr>
          <w:rFonts w:eastAsia="Times New Roman"/>
          <w:lang w:val="en-GB" w:eastAsia="nl-NL"/>
        </w:rPr>
        <w:t>Employment Committee.</w:t>
      </w:r>
    </w:p>
    <w:p w:rsidR="003C250C" w:rsidRPr="003C250C" w:rsidRDefault="003C250C" w:rsidP="005C799F">
      <w:pPr>
        <w:jc w:val="both"/>
        <w:rPr>
          <w:rFonts w:eastAsia="Times New Roman"/>
          <w:lang w:val="en-GB" w:eastAsia="nl-NL"/>
        </w:rPr>
      </w:pPr>
      <w:r w:rsidRPr="003C250C">
        <w:rPr>
          <w:rFonts w:eastAsia="Times New Roman"/>
          <w:lang w:val="en-GB" w:eastAsia="nl-NL"/>
        </w:rPr>
        <w:t>Member states are in particular invited to:</w:t>
      </w:r>
    </w:p>
    <w:p w:rsidR="003C250C" w:rsidRPr="005C799F" w:rsidRDefault="003C250C" w:rsidP="005C799F">
      <w:pPr>
        <w:pStyle w:val="Lijstalinea"/>
        <w:numPr>
          <w:ilvl w:val="0"/>
          <w:numId w:val="23"/>
        </w:numPr>
        <w:jc w:val="both"/>
        <w:rPr>
          <w:rFonts w:eastAsia="Times New Roman"/>
          <w:lang w:val="en-GB" w:eastAsia="nl-NL"/>
        </w:rPr>
      </w:pPr>
      <w:r w:rsidRPr="005C799F">
        <w:rPr>
          <w:rFonts w:eastAsia="Times New Roman"/>
          <w:lang w:val="en-GB" w:eastAsia="nl-NL"/>
        </w:rPr>
        <w:t>restructure their education systems, for instance creating closer links to labour market;</w:t>
      </w:r>
    </w:p>
    <w:p w:rsidR="003C250C" w:rsidRPr="005C799F" w:rsidRDefault="003C250C" w:rsidP="005C799F">
      <w:pPr>
        <w:pStyle w:val="Lijstalinea"/>
        <w:numPr>
          <w:ilvl w:val="0"/>
          <w:numId w:val="23"/>
        </w:numPr>
        <w:jc w:val="both"/>
        <w:rPr>
          <w:rFonts w:eastAsia="Times New Roman"/>
          <w:lang w:val="en-GB" w:eastAsia="nl-NL"/>
        </w:rPr>
      </w:pPr>
      <w:r w:rsidRPr="005C799F">
        <w:rPr>
          <w:rFonts w:eastAsia="Times New Roman"/>
          <w:lang w:val="en-GB" w:eastAsia="nl-NL"/>
        </w:rPr>
        <w:t>improve vocational education and training and focus it on potential growth areas or areas</w:t>
      </w:r>
      <w:r w:rsidR="005C799F" w:rsidRPr="005C799F">
        <w:rPr>
          <w:rFonts w:eastAsia="Times New Roman"/>
          <w:lang w:val="en-GB" w:eastAsia="nl-NL"/>
        </w:rPr>
        <w:t xml:space="preserve"> </w:t>
      </w:r>
      <w:r w:rsidRPr="005C799F">
        <w:rPr>
          <w:rFonts w:eastAsia="Times New Roman"/>
          <w:lang w:val="en-GB" w:eastAsia="nl-NL"/>
        </w:rPr>
        <w:t>with skills shortages;</w:t>
      </w:r>
    </w:p>
    <w:p w:rsidR="005C799F" w:rsidRPr="005C799F" w:rsidRDefault="003C250C" w:rsidP="005C799F">
      <w:pPr>
        <w:pStyle w:val="Lijstalinea"/>
        <w:numPr>
          <w:ilvl w:val="0"/>
          <w:numId w:val="23"/>
        </w:numPr>
        <w:jc w:val="both"/>
        <w:rPr>
          <w:rFonts w:eastAsia="Times New Roman"/>
          <w:lang w:val="en-GB" w:eastAsia="nl-NL"/>
        </w:rPr>
      </w:pPr>
      <w:r w:rsidRPr="005C799F">
        <w:rPr>
          <w:rFonts w:eastAsia="Times New Roman"/>
          <w:lang w:val="en-GB" w:eastAsia="nl-NL"/>
        </w:rPr>
        <w:t>identify young people at risk of early school-leaving and provide individualised support;</w:t>
      </w:r>
    </w:p>
    <w:p w:rsidR="003C250C" w:rsidRPr="005C799F" w:rsidRDefault="003C250C" w:rsidP="005C799F">
      <w:pPr>
        <w:pStyle w:val="Lijstalinea"/>
        <w:numPr>
          <w:ilvl w:val="0"/>
          <w:numId w:val="23"/>
        </w:numPr>
        <w:jc w:val="both"/>
        <w:rPr>
          <w:rFonts w:eastAsia="Times New Roman"/>
          <w:lang w:val="en-GB" w:eastAsia="nl-NL"/>
        </w:rPr>
      </w:pPr>
      <w:r w:rsidRPr="005C799F">
        <w:rPr>
          <w:rFonts w:eastAsia="Times New Roman"/>
          <w:lang w:val="en-GB" w:eastAsia="nl-NL"/>
        </w:rPr>
        <w:t>reduce the number of low-skilled adults through access to adult training and lifelong</w:t>
      </w:r>
      <w:r w:rsidR="005C799F" w:rsidRPr="005C799F">
        <w:rPr>
          <w:rFonts w:eastAsia="Times New Roman"/>
          <w:lang w:val="en-GB" w:eastAsia="nl-NL"/>
        </w:rPr>
        <w:t xml:space="preserve"> learning; </w:t>
      </w:r>
    </w:p>
    <w:p w:rsidR="003C250C" w:rsidRDefault="003C250C" w:rsidP="005C799F">
      <w:pPr>
        <w:pStyle w:val="Lijstalinea"/>
        <w:numPr>
          <w:ilvl w:val="0"/>
          <w:numId w:val="23"/>
        </w:numPr>
        <w:autoSpaceDE w:val="0"/>
        <w:autoSpaceDN w:val="0"/>
        <w:adjustRightInd w:val="0"/>
        <w:spacing w:after="0" w:line="240" w:lineRule="auto"/>
        <w:rPr>
          <w:rFonts w:eastAsia="Times New Roman"/>
          <w:lang w:val="en-GB" w:eastAsia="nl-NL"/>
        </w:rPr>
      </w:pPr>
      <w:proofErr w:type="gramStart"/>
      <w:r w:rsidRPr="005C799F">
        <w:rPr>
          <w:rFonts w:eastAsia="Times New Roman"/>
          <w:lang w:val="en-GB" w:eastAsia="nl-NL"/>
        </w:rPr>
        <w:t>optimise</w:t>
      </w:r>
      <w:proofErr w:type="gramEnd"/>
      <w:r w:rsidRPr="005C799F">
        <w:rPr>
          <w:rFonts w:eastAsia="Times New Roman"/>
          <w:lang w:val="en-GB" w:eastAsia="nl-NL"/>
        </w:rPr>
        <w:t xml:space="preserve"> ICT-supported learning and access to open educational resources.</w:t>
      </w:r>
    </w:p>
    <w:p w:rsidR="005C799F" w:rsidRDefault="005C799F" w:rsidP="005C799F">
      <w:pPr>
        <w:autoSpaceDE w:val="0"/>
        <w:autoSpaceDN w:val="0"/>
        <w:adjustRightInd w:val="0"/>
        <w:spacing w:after="0" w:line="240" w:lineRule="auto"/>
        <w:rPr>
          <w:rFonts w:eastAsia="Times New Roman"/>
          <w:lang w:val="en-GB" w:eastAsia="nl-NL"/>
        </w:rPr>
      </w:pPr>
    </w:p>
    <w:p w:rsidR="005C799F" w:rsidRDefault="005C799F" w:rsidP="005C799F">
      <w:pPr>
        <w:autoSpaceDE w:val="0"/>
        <w:autoSpaceDN w:val="0"/>
        <w:adjustRightInd w:val="0"/>
        <w:spacing w:after="0" w:line="240" w:lineRule="auto"/>
        <w:rPr>
          <w:rFonts w:eastAsia="Times New Roman"/>
          <w:lang w:val="en-GB" w:eastAsia="nl-NL"/>
        </w:rPr>
      </w:pPr>
      <w:r>
        <w:rPr>
          <w:rFonts w:eastAsia="Times New Roman"/>
          <w:lang w:val="en-GB" w:eastAsia="nl-NL"/>
        </w:rPr>
        <w:t xml:space="preserve">Read </w:t>
      </w:r>
      <w:hyperlink r:id="rId15" w:history="1">
        <w:r w:rsidRPr="005C799F">
          <w:rPr>
            <w:rStyle w:val="Hyperlink"/>
            <w:rFonts w:eastAsia="Times New Roman"/>
            <w:lang w:val="en-GB" w:eastAsia="nl-NL"/>
          </w:rPr>
          <w:t>the conclusions</w:t>
        </w:r>
      </w:hyperlink>
      <w:r>
        <w:rPr>
          <w:rFonts w:eastAsia="Times New Roman"/>
          <w:lang w:val="en-GB" w:eastAsia="nl-NL"/>
        </w:rPr>
        <w:t>.</w:t>
      </w:r>
    </w:p>
    <w:p w:rsidR="008844B9" w:rsidRPr="005C799F" w:rsidRDefault="008844B9" w:rsidP="005C799F">
      <w:pPr>
        <w:autoSpaceDE w:val="0"/>
        <w:autoSpaceDN w:val="0"/>
        <w:adjustRightInd w:val="0"/>
        <w:spacing w:after="0" w:line="240" w:lineRule="auto"/>
        <w:rPr>
          <w:rFonts w:eastAsia="Times New Roman"/>
          <w:lang w:val="en-GB" w:eastAsia="nl-NL"/>
        </w:rPr>
      </w:pPr>
    </w:p>
    <w:p w:rsidR="00AB7A6A" w:rsidRPr="00AB7A6A" w:rsidRDefault="0096540F" w:rsidP="0096540F">
      <w:pPr>
        <w:pStyle w:val="Kop2"/>
        <w:rPr>
          <w:rFonts w:ascii="TimesNewRoman,Italic" w:hAnsi="TimesNewRoman,Italic" w:cs="TimesNewRoman,Italic"/>
          <w:i/>
          <w:iCs/>
          <w:sz w:val="24"/>
          <w:szCs w:val="24"/>
          <w:lang w:val="en-GB"/>
        </w:rPr>
      </w:pPr>
      <w:r>
        <w:rPr>
          <w:rFonts w:eastAsia="Times New Roman"/>
          <w:lang w:val="en-GB"/>
        </w:rPr>
        <w:t xml:space="preserve">2.3 </w:t>
      </w:r>
      <w:r w:rsidR="00AB7A6A" w:rsidRPr="00AB7A6A">
        <w:rPr>
          <w:rFonts w:eastAsia="Times New Roman"/>
          <w:lang w:val="en-GB"/>
        </w:rPr>
        <w:t>Erasmus for all</w:t>
      </w:r>
      <w:r w:rsidR="00AB7A6A" w:rsidRPr="00AB7A6A">
        <w:rPr>
          <w:rFonts w:ascii="TimesNewRoman,Italic" w:hAnsi="TimesNewRoman,Italic" w:cs="TimesNewRoman,Italic"/>
          <w:i/>
          <w:iCs/>
          <w:sz w:val="24"/>
          <w:szCs w:val="24"/>
          <w:lang w:val="en-GB"/>
        </w:rPr>
        <w:t xml:space="preserve"> </w:t>
      </w:r>
    </w:p>
    <w:p w:rsidR="00AB7A6A" w:rsidRPr="005C799F" w:rsidRDefault="00AB7A6A" w:rsidP="005C799F">
      <w:pPr>
        <w:autoSpaceDE w:val="0"/>
        <w:autoSpaceDN w:val="0"/>
        <w:adjustRightInd w:val="0"/>
        <w:spacing w:after="0" w:line="240" w:lineRule="auto"/>
        <w:jc w:val="both"/>
        <w:rPr>
          <w:rFonts w:eastAsia="Times New Roman"/>
          <w:lang w:val="en-GB" w:eastAsia="nl-NL"/>
        </w:rPr>
      </w:pPr>
      <w:r w:rsidRPr="005C799F">
        <w:rPr>
          <w:rFonts w:eastAsia="Times New Roman"/>
          <w:lang w:val="en-GB" w:eastAsia="nl-NL"/>
        </w:rPr>
        <w:t xml:space="preserve">The Council </w:t>
      </w:r>
      <w:r w:rsidR="005C799F">
        <w:rPr>
          <w:rFonts w:eastAsia="Times New Roman"/>
          <w:lang w:val="en-GB" w:eastAsia="nl-NL"/>
        </w:rPr>
        <w:t xml:space="preserve">of 15 February 2013 </w:t>
      </w:r>
      <w:r w:rsidRPr="005C799F">
        <w:rPr>
          <w:rFonts w:eastAsia="Times New Roman"/>
          <w:lang w:val="en-GB" w:eastAsia="nl-NL"/>
        </w:rPr>
        <w:t>took note of oral information from the Presidency on the state of play concerning the proposal for a regulation establishing "Erasmus for all": the Union Programme for Education,</w:t>
      </w:r>
      <w:r w:rsidR="008844B9">
        <w:rPr>
          <w:rFonts w:eastAsia="Times New Roman"/>
          <w:lang w:val="en-GB" w:eastAsia="nl-NL"/>
        </w:rPr>
        <w:t xml:space="preserve"> </w:t>
      </w:r>
      <w:r w:rsidRPr="005C799F">
        <w:rPr>
          <w:rFonts w:eastAsia="Times New Roman"/>
          <w:lang w:val="en-GB" w:eastAsia="nl-NL"/>
        </w:rPr>
        <w:t>Training, Youth and Sport.</w:t>
      </w:r>
    </w:p>
    <w:p w:rsidR="00F173AA" w:rsidRDefault="00F173AA" w:rsidP="005C799F">
      <w:pPr>
        <w:autoSpaceDE w:val="0"/>
        <w:autoSpaceDN w:val="0"/>
        <w:adjustRightInd w:val="0"/>
        <w:spacing w:after="0" w:line="240" w:lineRule="auto"/>
        <w:jc w:val="both"/>
        <w:rPr>
          <w:rFonts w:eastAsia="Times New Roman"/>
          <w:lang w:val="en-GB" w:eastAsia="nl-NL"/>
        </w:rPr>
      </w:pPr>
    </w:p>
    <w:p w:rsidR="00F173AA" w:rsidRDefault="00F173AA" w:rsidP="005C799F">
      <w:pPr>
        <w:autoSpaceDE w:val="0"/>
        <w:autoSpaceDN w:val="0"/>
        <w:adjustRightInd w:val="0"/>
        <w:spacing w:after="0" w:line="240" w:lineRule="auto"/>
        <w:jc w:val="both"/>
        <w:rPr>
          <w:rFonts w:eastAsia="Times New Roman"/>
          <w:lang w:val="en-GB" w:eastAsia="nl-NL"/>
        </w:rPr>
      </w:pPr>
      <w:r>
        <w:rPr>
          <w:rFonts w:eastAsia="Times New Roman"/>
          <w:lang w:val="en-GB" w:eastAsia="nl-NL"/>
        </w:rPr>
        <w:t xml:space="preserve">Factsheet: </w:t>
      </w:r>
    </w:p>
    <w:p w:rsidR="00F173AA" w:rsidRDefault="00AB7A6A" w:rsidP="005C799F">
      <w:pPr>
        <w:autoSpaceDE w:val="0"/>
        <w:autoSpaceDN w:val="0"/>
        <w:adjustRightInd w:val="0"/>
        <w:spacing w:after="0" w:line="240" w:lineRule="auto"/>
        <w:jc w:val="both"/>
        <w:rPr>
          <w:rFonts w:eastAsia="Times New Roman"/>
          <w:lang w:val="en-GB" w:eastAsia="nl-NL"/>
        </w:rPr>
      </w:pPr>
      <w:r w:rsidRPr="00F173AA">
        <w:rPr>
          <w:rFonts w:eastAsia="Times New Roman"/>
          <w:b/>
          <w:lang w:val="en-GB" w:eastAsia="nl-NL"/>
        </w:rPr>
        <w:t>The Commission</w:t>
      </w:r>
      <w:r w:rsidRPr="005C799F">
        <w:rPr>
          <w:rFonts w:eastAsia="Times New Roman"/>
          <w:lang w:val="en-GB" w:eastAsia="nl-NL"/>
        </w:rPr>
        <w:t xml:space="preserve"> presented i</w:t>
      </w:r>
      <w:r w:rsidR="005C799F">
        <w:rPr>
          <w:rFonts w:eastAsia="Times New Roman"/>
          <w:lang w:val="en-GB" w:eastAsia="nl-NL"/>
        </w:rPr>
        <w:t>t</w:t>
      </w:r>
      <w:r w:rsidR="00F173AA">
        <w:rPr>
          <w:rFonts w:eastAsia="Times New Roman"/>
          <w:lang w:val="en-GB" w:eastAsia="nl-NL"/>
        </w:rPr>
        <w:t>s proposal on 25 November 2011, focusing on three types of key actions, namely:</w:t>
      </w:r>
    </w:p>
    <w:p w:rsidR="00F173AA" w:rsidRDefault="00F173AA" w:rsidP="00F173AA">
      <w:pPr>
        <w:pStyle w:val="Lijstalinea"/>
        <w:numPr>
          <w:ilvl w:val="0"/>
          <w:numId w:val="23"/>
        </w:numPr>
        <w:autoSpaceDE w:val="0"/>
        <w:autoSpaceDN w:val="0"/>
        <w:adjustRightInd w:val="0"/>
        <w:spacing w:after="0" w:line="240" w:lineRule="auto"/>
        <w:jc w:val="both"/>
        <w:rPr>
          <w:rFonts w:eastAsia="Times New Roman"/>
          <w:lang w:val="en-GB" w:eastAsia="nl-NL"/>
        </w:rPr>
      </w:pPr>
      <w:r>
        <w:rPr>
          <w:rFonts w:eastAsia="Times New Roman"/>
          <w:lang w:val="en-GB" w:eastAsia="nl-NL"/>
        </w:rPr>
        <w:t>the learning mobility of individuals</w:t>
      </w:r>
    </w:p>
    <w:p w:rsidR="00F173AA" w:rsidRDefault="00F173AA" w:rsidP="00F173AA">
      <w:pPr>
        <w:pStyle w:val="Lijstalinea"/>
        <w:numPr>
          <w:ilvl w:val="0"/>
          <w:numId w:val="23"/>
        </w:numPr>
        <w:autoSpaceDE w:val="0"/>
        <w:autoSpaceDN w:val="0"/>
        <w:adjustRightInd w:val="0"/>
        <w:spacing w:after="0" w:line="240" w:lineRule="auto"/>
        <w:jc w:val="both"/>
        <w:rPr>
          <w:rFonts w:eastAsia="Times New Roman"/>
          <w:lang w:val="en-GB" w:eastAsia="nl-NL"/>
        </w:rPr>
      </w:pPr>
      <w:r>
        <w:rPr>
          <w:rFonts w:eastAsia="Times New Roman"/>
          <w:lang w:val="en-GB" w:eastAsia="nl-NL"/>
        </w:rPr>
        <w:t>cooperation on innovation and good practices</w:t>
      </w:r>
    </w:p>
    <w:p w:rsidR="00F173AA" w:rsidRDefault="00F173AA" w:rsidP="00F173AA">
      <w:pPr>
        <w:pStyle w:val="Lijstalinea"/>
        <w:numPr>
          <w:ilvl w:val="0"/>
          <w:numId w:val="23"/>
        </w:numPr>
        <w:autoSpaceDE w:val="0"/>
        <w:autoSpaceDN w:val="0"/>
        <w:adjustRightInd w:val="0"/>
        <w:spacing w:after="0" w:line="240" w:lineRule="auto"/>
        <w:jc w:val="both"/>
        <w:rPr>
          <w:rFonts w:eastAsia="Times New Roman"/>
          <w:lang w:val="en-GB" w:eastAsia="nl-NL"/>
        </w:rPr>
      </w:pPr>
      <w:proofErr w:type="gramStart"/>
      <w:r>
        <w:rPr>
          <w:rFonts w:eastAsia="Times New Roman"/>
          <w:lang w:val="en-GB" w:eastAsia="nl-NL"/>
        </w:rPr>
        <w:lastRenderedPageBreak/>
        <w:t>support</w:t>
      </w:r>
      <w:proofErr w:type="gramEnd"/>
      <w:r>
        <w:rPr>
          <w:rFonts w:eastAsia="Times New Roman"/>
          <w:lang w:val="en-GB" w:eastAsia="nl-NL"/>
        </w:rPr>
        <w:t xml:space="preserve"> for policy reform.</w:t>
      </w:r>
    </w:p>
    <w:p w:rsidR="00F173AA" w:rsidRDefault="00F173AA" w:rsidP="005C799F">
      <w:pPr>
        <w:autoSpaceDE w:val="0"/>
        <w:autoSpaceDN w:val="0"/>
        <w:adjustRightInd w:val="0"/>
        <w:spacing w:after="0" w:line="240" w:lineRule="auto"/>
        <w:jc w:val="both"/>
        <w:rPr>
          <w:rFonts w:eastAsia="Times New Roman"/>
          <w:lang w:val="en-GB" w:eastAsia="nl-NL"/>
        </w:rPr>
      </w:pPr>
      <w:r w:rsidRPr="005C799F">
        <w:rPr>
          <w:rFonts w:eastAsia="Times New Roman"/>
          <w:lang w:val="en-GB" w:eastAsia="nl-NL"/>
        </w:rPr>
        <w:t xml:space="preserve">The proposed budget for the Programme is </w:t>
      </w:r>
      <w:r w:rsidRPr="005C799F">
        <w:rPr>
          <w:rFonts w:eastAsia="Times New Roman" w:hint="eastAsia"/>
          <w:lang w:val="en-GB" w:eastAsia="nl-NL"/>
        </w:rPr>
        <w:t>€</w:t>
      </w:r>
      <w:r w:rsidRPr="005C799F">
        <w:rPr>
          <w:rFonts w:eastAsia="Times New Roman"/>
          <w:lang w:val="en-GB" w:eastAsia="nl-NL"/>
        </w:rPr>
        <w:t>19 billion.</w:t>
      </w:r>
    </w:p>
    <w:p w:rsidR="00AB7A6A" w:rsidRPr="005C799F" w:rsidRDefault="00AB7A6A" w:rsidP="005C799F">
      <w:pPr>
        <w:autoSpaceDE w:val="0"/>
        <w:autoSpaceDN w:val="0"/>
        <w:adjustRightInd w:val="0"/>
        <w:spacing w:after="0" w:line="240" w:lineRule="auto"/>
        <w:jc w:val="both"/>
        <w:rPr>
          <w:rFonts w:eastAsia="Times New Roman"/>
          <w:lang w:val="en-GB" w:eastAsia="nl-NL"/>
        </w:rPr>
      </w:pPr>
      <w:r w:rsidRPr="00F173AA">
        <w:rPr>
          <w:rFonts w:eastAsia="Times New Roman"/>
          <w:b/>
          <w:lang w:val="en-GB" w:eastAsia="nl-NL"/>
        </w:rPr>
        <w:t>The</w:t>
      </w:r>
      <w:r w:rsidR="005C799F" w:rsidRPr="00F173AA">
        <w:rPr>
          <w:rFonts w:eastAsia="Times New Roman"/>
          <w:b/>
          <w:lang w:val="en-GB" w:eastAsia="nl-NL"/>
        </w:rPr>
        <w:t xml:space="preserve"> </w:t>
      </w:r>
      <w:r w:rsidRPr="00F173AA">
        <w:rPr>
          <w:rFonts w:eastAsia="Times New Roman"/>
          <w:b/>
          <w:lang w:val="en-GB" w:eastAsia="nl-NL"/>
        </w:rPr>
        <w:t>Council</w:t>
      </w:r>
      <w:r w:rsidRPr="005C799F">
        <w:rPr>
          <w:rFonts w:eastAsia="Times New Roman"/>
          <w:lang w:val="en-GB" w:eastAsia="nl-NL"/>
        </w:rPr>
        <w:t xml:space="preserve"> agreed a partial general approach in May 2012 which excluded any provisions</w:t>
      </w:r>
      <w:r w:rsidR="005C799F">
        <w:rPr>
          <w:rFonts w:eastAsia="Times New Roman"/>
          <w:lang w:val="en-GB" w:eastAsia="nl-NL"/>
        </w:rPr>
        <w:t xml:space="preserve"> </w:t>
      </w:r>
      <w:r w:rsidRPr="005C799F">
        <w:rPr>
          <w:rFonts w:eastAsia="Times New Roman"/>
          <w:lang w:val="en-GB" w:eastAsia="nl-NL"/>
        </w:rPr>
        <w:t xml:space="preserve">with budgetary implications, pending overall agreement on the Multiannual Financial </w:t>
      </w:r>
      <w:proofErr w:type="gramStart"/>
      <w:r w:rsidRPr="005C799F">
        <w:rPr>
          <w:rFonts w:eastAsia="Times New Roman"/>
          <w:lang w:val="en-GB" w:eastAsia="nl-NL"/>
        </w:rPr>
        <w:t>Framework(</w:t>
      </w:r>
      <w:proofErr w:type="gramEnd"/>
      <w:r w:rsidRPr="005C799F">
        <w:rPr>
          <w:rFonts w:eastAsia="Times New Roman"/>
          <w:lang w:val="en-GB" w:eastAsia="nl-NL"/>
        </w:rPr>
        <w:t xml:space="preserve">MFF). </w:t>
      </w:r>
    </w:p>
    <w:p w:rsidR="00AB7A6A" w:rsidRDefault="00AB7A6A" w:rsidP="005C799F">
      <w:pPr>
        <w:autoSpaceDE w:val="0"/>
        <w:autoSpaceDN w:val="0"/>
        <w:adjustRightInd w:val="0"/>
        <w:spacing w:after="0" w:line="240" w:lineRule="auto"/>
        <w:jc w:val="both"/>
        <w:rPr>
          <w:rFonts w:eastAsia="Times New Roman"/>
          <w:lang w:val="en-GB" w:eastAsia="nl-NL"/>
        </w:rPr>
      </w:pPr>
      <w:r w:rsidRPr="005C799F">
        <w:rPr>
          <w:rFonts w:eastAsia="Times New Roman"/>
          <w:lang w:val="en-GB" w:eastAsia="nl-NL"/>
        </w:rPr>
        <w:t xml:space="preserve">Although it maintained the overall architecture of the Commission proposal, with emphasis on and on different types of action rather than a purely </w:t>
      </w:r>
      <w:proofErr w:type="spellStart"/>
      <w:r w:rsidRPr="005C799F">
        <w:rPr>
          <w:rFonts w:eastAsia="Times New Roman"/>
          <w:lang w:val="en-GB" w:eastAsia="nl-NL"/>
        </w:rPr>
        <w:t>sectoral</w:t>
      </w:r>
      <w:proofErr w:type="spellEnd"/>
      <w:r w:rsidRPr="005C799F">
        <w:rPr>
          <w:rFonts w:eastAsia="Times New Roman"/>
          <w:lang w:val="en-GB" w:eastAsia="nl-NL"/>
        </w:rPr>
        <w:t xml:space="preserve"> approach, the Council did introduce a number of changes to the text, many of which have since been taken up by the</w:t>
      </w:r>
      <w:r w:rsidR="005C799F">
        <w:rPr>
          <w:rFonts w:eastAsia="Times New Roman"/>
          <w:lang w:val="en-GB" w:eastAsia="nl-NL"/>
        </w:rPr>
        <w:t xml:space="preserve"> </w:t>
      </w:r>
      <w:r w:rsidR="00F173AA">
        <w:rPr>
          <w:rFonts w:eastAsia="Times New Roman"/>
          <w:lang w:val="en-GB" w:eastAsia="nl-NL"/>
        </w:rPr>
        <w:t>European Parliament, in particular:</w:t>
      </w:r>
    </w:p>
    <w:p w:rsidR="00F173AA" w:rsidRDefault="00F173AA" w:rsidP="00F173AA">
      <w:pPr>
        <w:pStyle w:val="Lijstalinea"/>
        <w:numPr>
          <w:ilvl w:val="0"/>
          <w:numId w:val="23"/>
        </w:numPr>
        <w:autoSpaceDE w:val="0"/>
        <w:autoSpaceDN w:val="0"/>
        <w:adjustRightInd w:val="0"/>
        <w:spacing w:after="0" w:line="240" w:lineRule="auto"/>
        <w:jc w:val="both"/>
        <w:rPr>
          <w:rFonts w:eastAsia="Times New Roman"/>
          <w:lang w:val="en-GB" w:eastAsia="nl-NL"/>
        </w:rPr>
      </w:pPr>
      <w:r>
        <w:rPr>
          <w:rFonts w:eastAsia="Times New Roman"/>
          <w:lang w:val="en-GB" w:eastAsia="nl-NL"/>
        </w:rPr>
        <w:t>a separate chapter and budget allocation for youth</w:t>
      </w:r>
    </w:p>
    <w:p w:rsidR="00F173AA" w:rsidRDefault="00F173AA" w:rsidP="00F173AA">
      <w:pPr>
        <w:pStyle w:val="Lijstalinea"/>
        <w:numPr>
          <w:ilvl w:val="0"/>
          <w:numId w:val="23"/>
        </w:numPr>
        <w:autoSpaceDE w:val="0"/>
        <w:autoSpaceDN w:val="0"/>
        <w:adjustRightInd w:val="0"/>
        <w:spacing w:after="0" w:line="240" w:lineRule="auto"/>
        <w:jc w:val="both"/>
        <w:rPr>
          <w:rFonts w:eastAsia="Times New Roman"/>
          <w:lang w:val="en-GB" w:eastAsia="nl-NL"/>
        </w:rPr>
      </w:pPr>
      <w:r>
        <w:rPr>
          <w:rFonts w:eastAsia="Times New Roman"/>
          <w:lang w:val="en-GB" w:eastAsia="nl-NL"/>
        </w:rPr>
        <w:t>more flexibility for member states in terms of implementation (allowing for more than one national agency, for instance)</w:t>
      </w:r>
    </w:p>
    <w:p w:rsidR="00F173AA" w:rsidRDefault="00F173AA" w:rsidP="00F173AA">
      <w:pPr>
        <w:pStyle w:val="Lijstalinea"/>
        <w:numPr>
          <w:ilvl w:val="0"/>
          <w:numId w:val="23"/>
        </w:numPr>
        <w:autoSpaceDE w:val="0"/>
        <w:autoSpaceDN w:val="0"/>
        <w:adjustRightInd w:val="0"/>
        <w:spacing w:after="0" w:line="240" w:lineRule="auto"/>
        <w:jc w:val="both"/>
        <w:rPr>
          <w:rFonts w:eastAsia="Times New Roman"/>
          <w:lang w:val="en-GB" w:eastAsia="nl-NL"/>
        </w:rPr>
      </w:pPr>
      <w:r>
        <w:rPr>
          <w:rFonts w:eastAsia="Times New Roman"/>
          <w:lang w:val="en-GB" w:eastAsia="nl-NL"/>
        </w:rPr>
        <w:t>guaranteeing minimum levels of spending for each education sector</w:t>
      </w:r>
    </w:p>
    <w:p w:rsidR="00F173AA" w:rsidRDefault="00F173AA" w:rsidP="00F173AA">
      <w:pPr>
        <w:pStyle w:val="Lijstalinea"/>
        <w:numPr>
          <w:ilvl w:val="0"/>
          <w:numId w:val="23"/>
        </w:numPr>
        <w:autoSpaceDE w:val="0"/>
        <w:autoSpaceDN w:val="0"/>
        <w:adjustRightInd w:val="0"/>
        <w:spacing w:after="0" w:line="240" w:lineRule="auto"/>
        <w:jc w:val="both"/>
        <w:rPr>
          <w:rFonts w:eastAsia="Times New Roman"/>
          <w:lang w:val="en-GB" w:eastAsia="nl-NL"/>
        </w:rPr>
      </w:pPr>
      <w:proofErr w:type="gramStart"/>
      <w:r>
        <w:rPr>
          <w:rFonts w:eastAsia="Times New Roman"/>
          <w:lang w:val="en-GB" w:eastAsia="nl-NL"/>
        </w:rPr>
        <w:t>broadening</w:t>
      </w:r>
      <w:proofErr w:type="gramEnd"/>
      <w:r>
        <w:rPr>
          <w:rFonts w:eastAsia="Times New Roman"/>
          <w:lang w:val="en-GB" w:eastAsia="nl-NL"/>
        </w:rPr>
        <w:t xml:space="preserve"> access ensuring participation of persons with special needs or fewer opportunities.</w:t>
      </w:r>
    </w:p>
    <w:p w:rsidR="00F173AA" w:rsidRDefault="00F173AA" w:rsidP="00F173AA">
      <w:pPr>
        <w:autoSpaceDE w:val="0"/>
        <w:autoSpaceDN w:val="0"/>
        <w:adjustRightInd w:val="0"/>
        <w:spacing w:after="0" w:line="240" w:lineRule="auto"/>
        <w:jc w:val="both"/>
        <w:rPr>
          <w:rFonts w:eastAsia="Times New Roman"/>
          <w:lang w:val="en-GB" w:eastAsia="nl-NL"/>
        </w:rPr>
      </w:pPr>
      <w:r>
        <w:rPr>
          <w:rFonts w:eastAsia="Times New Roman"/>
          <w:lang w:val="en-GB" w:eastAsia="nl-NL"/>
        </w:rPr>
        <w:t xml:space="preserve">The </w:t>
      </w:r>
      <w:r w:rsidRPr="00F173AA">
        <w:rPr>
          <w:rFonts w:eastAsia="Times New Roman"/>
          <w:b/>
          <w:lang w:val="en-GB" w:eastAsia="nl-NL"/>
        </w:rPr>
        <w:t>European Parliament</w:t>
      </w:r>
      <w:r>
        <w:rPr>
          <w:rFonts w:eastAsia="Times New Roman"/>
          <w:lang w:val="en-GB" w:eastAsia="nl-NL"/>
        </w:rPr>
        <w:t xml:space="preserve"> discussed the proposal; main areas of divergence from the Council’s position can be summarised as follows:</w:t>
      </w:r>
    </w:p>
    <w:p w:rsidR="00F173AA" w:rsidRDefault="00F173AA" w:rsidP="00F173AA">
      <w:pPr>
        <w:pStyle w:val="Lijstalinea"/>
        <w:numPr>
          <w:ilvl w:val="0"/>
          <w:numId w:val="23"/>
        </w:numPr>
        <w:autoSpaceDE w:val="0"/>
        <w:autoSpaceDN w:val="0"/>
        <w:adjustRightInd w:val="0"/>
        <w:spacing w:after="0" w:line="240" w:lineRule="auto"/>
        <w:jc w:val="both"/>
        <w:rPr>
          <w:rFonts w:eastAsia="Times New Roman"/>
          <w:lang w:val="en-GB" w:eastAsia="nl-NL"/>
        </w:rPr>
      </w:pPr>
      <w:r>
        <w:rPr>
          <w:rFonts w:eastAsia="Times New Roman"/>
          <w:lang w:val="en-GB" w:eastAsia="nl-NL"/>
        </w:rPr>
        <w:t>new name: YES Europe</w:t>
      </w:r>
    </w:p>
    <w:p w:rsidR="00F173AA" w:rsidRDefault="00F173AA" w:rsidP="00F173AA">
      <w:pPr>
        <w:pStyle w:val="Lijstalinea"/>
        <w:numPr>
          <w:ilvl w:val="0"/>
          <w:numId w:val="23"/>
        </w:numPr>
        <w:autoSpaceDE w:val="0"/>
        <w:autoSpaceDN w:val="0"/>
        <w:adjustRightInd w:val="0"/>
        <w:spacing w:after="0" w:line="240" w:lineRule="auto"/>
        <w:jc w:val="both"/>
        <w:rPr>
          <w:rFonts w:eastAsia="Times New Roman"/>
          <w:lang w:val="en-GB" w:eastAsia="nl-NL"/>
        </w:rPr>
      </w:pPr>
      <w:r>
        <w:rPr>
          <w:rFonts w:eastAsia="Times New Roman"/>
          <w:lang w:val="en-GB" w:eastAsia="nl-NL"/>
        </w:rPr>
        <w:t>retention of the current brand names for the sub-programmes</w:t>
      </w:r>
    </w:p>
    <w:p w:rsidR="00F173AA" w:rsidRDefault="00F173AA" w:rsidP="00F173AA">
      <w:pPr>
        <w:pStyle w:val="Lijstalinea"/>
        <w:numPr>
          <w:ilvl w:val="0"/>
          <w:numId w:val="23"/>
        </w:numPr>
        <w:autoSpaceDE w:val="0"/>
        <w:autoSpaceDN w:val="0"/>
        <w:adjustRightInd w:val="0"/>
        <w:spacing w:after="0" w:line="240" w:lineRule="auto"/>
        <w:jc w:val="both"/>
        <w:rPr>
          <w:rFonts w:eastAsia="Times New Roman"/>
          <w:lang w:val="en-GB" w:eastAsia="nl-NL"/>
        </w:rPr>
      </w:pPr>
      <w:proofErr w:type="gramStart"/>
      <w:r>
        <w:rPr>
          <w:rFonts w:eastAsia="Times New Roman"/>
          <w:lang w:val="en-GB" w:eastAsia="nl-NL"/>
        </w:rPr>
        <w:t>detailed</w:t>
      </w:r>
      <w:proofErr w:type="gramEnd"/>
      <w:r>
        <w:rPr>
          <w:rFonts w:eastAsia="Times New Roman"/>
          <w:lang w:val="en-GB" w:eastAsia="nl-NL"/>
        </w:rPr>
        <w:t xml:space="preserve"> objectives for education, training and youth chapters.</w:t>
      </w:r>
    </w:p>
    <w:p w:rsidR="00F173AA" w:rsidRDefault="00F173AA" w:rsidP="00F173AA">
      <w:pPr>
        <w:autoSpaceDE w:val="0"/>
        <w:autoSpaceDN w:val="0"/>
        <w:adjustRightInd w:val="0"/>
        <w:spacing w:after="0" w:line="240" w:lineRule="auto"/>
        <w:jc w:val="both"/>
        <w:rPr>
          <w:rFonts w:eastAsia="Times New Roman"/>
          <w:lang w:val="en-GB" w:eastAsia="nl-NL"/>
        </w:rPr>
      </w:pPr>
      <w:r>
        <w:rPr>
          <w:rFonts w:eastAsia="Times New Roman"/>
          <w:lang w:val="en-GB" w:eastAsia="nl-NL"/>
        </w:rPr>
        <w:t xml:space="preserve">On 7-8 February 2013, the </w:t>
      </w:r>
      <w:r w:rsidRPr="00F173AA">
        <w:rPr>
          <w:rFonts w:eastAsia="Times New Roman"/>
          <w:b/>
          <w:lang w:val="en-GB" w:eastAsia="nl-NL"/>
        </w:rPr>
        <w:t>European Council</w:t>
      </w:r>
      <w:r>
        <w:rPr>
          <w:rFonts w:eastAsia="Times New Roman"/>
          <w:lang w:val="en-GB" w:eastAsia="nl-NL"/>
        </w:rPr>
        <w:t xml:space="preserve"> committed to increase the funding for ‘Erasmus for all’ in real terms. </w:t>
      </w:r>
    </w:p>
    <w:p w:rsidR="006E3290" w:rsidRDefault="006E3290" w:rsidP="00F173AA">
      <w:pPr>
        <w:autoSpaceDE w:val="0"/>
        <w:autoSpaceDN w:val="0"/>
        <w:adjustRightInd w:val="0"/>
        <w:spacing w:after="0" w:line="240" w:lineRule="auto"/>
        <w:jc w:val="both"/>
        <w:rPr>
          <w:rFonts w:eastAsia="Times New Roman"/>
          <w:lang w:val="en-GB" w:eastAsia="nl-NL"/>
        </w:rPr>
      </w:pPr>
    </w:p>
    <w:p w:rsidR="006E3290" w:rsidRDefault="006E3290" w:rsidP="00F173AA">
      <w:pPr>
        <w:autoSpaceDE w:val="0"/>
        <w:autoSpaceDN w:val="0"/>
        <w:adjustRightInd w:val="0"/>
        <w:spacing w:after="0" w:line="240" w:lineRule="auto"/>
        <w:jc w:val="both"/>
        <w:rPr>
          <w:rFonts w:eastAsia="Times New Roman"/>
          <w:lang w:val="en-GB" w:eastAsia="nl-NL"/>
        </w:rPr>
      </w:pPr>
      <w:r>
        <w:rPr>
          <w:rFonts w:eastAsia="Times New Roman"/>
          <w:lang w:val="en-GB" w:eastAsia="nl-NL"/>
        </w:rPr>
        <w:t xml:space="preserve">The Council of 16-17 May took note of the information by the Irish </w:t>
      </w:r>
      <w:proofErr w:type="gramStart"/>
      <w:r>
        <w:rPr>
          <w:rFonts w:eastAsia="Times New Roman"/>
          <w:lang w:val="en-GB" w:eastAsia="nl-NL"/>
        </w:rPr>
        <w:t>Presidency  (</w:t>
      </w:r>
      <w:proofErr w:type="gramEnd"/>
      <w:r>
        <w:rPr>
          <w:rFonts w:eastAsia="Times New Roman"/>
          <w:lang w:val="en-GB" w:eastAsia="nl-NL"/>
        </w:rPr>
        <w:t>see point 2.5).</w:t>
      </w:r>
    </w:p>
    <w:p w:rsidR="008023A7" w:rsidRDefault="008023A7" w:rsidP="00F173AA">
      <w:pPr>
        <w:autoSpaceDE w:val="0"/>
        <w:autoSpaceDN w:val="0"/>
        <w:adjustRightInd w:val="0"/>
        <w:spacing w:after="0" w:line="240" w:lineRule="auto"/>
        <w:jc w:val="both"/>
        <w:rPr>
          <w:rFonts w:eastAsia="Times New Roman"/>
          <w:lang w:val="en-GB" w:eastAsia="nl-NL"/>
        </w:rPr>
      </w:pPr>
    </w:p>
    <w:p w:rsidR="0034085F" w:rsidRDefault="0034085F" w:rsidP="0034085F">
      <w:pPr>
        <w:pStyle w:val="Kop2"/>
        <w:rPr>
          <w:rFonts w:eastAsia="Times New Roman"/>
          <w:lang w:val="en-GB" w:eastAsia="nl-NL"/>
        </w:rPr>
      </w:pPr>
      <w:r>
        <w:rPr>
          <w:rFonts w:eastAsia="Times New Roman"/>
          <w:lang w:val="en-GB" w:eastAsia="nl-NL"/>
        </w:rPr>
        <w:t>2.4 Higher Education</w:t>
      </w:r>
    </w:p>
    <w:p w:rsidR="0034085F" w:rsidRDefault="0034085F" w:rsidP="0034085F">
      <w:pPr>
        <w:pStyle w:val="Kop3"/>
        <w:rPr>
          <w:lang w:val="en-GB" w:eastAsia="nl-NL"/>
        </w:rPr>
      </w:pPr>
      <w:r>
        <w:rPr>
          <w:lang w:val="en-GB" w:eastAsia="nl-NL"/>
        </w:rPr>
        <w:t>2.4.1 U-</w:t>
      </w:r>
      <w:proofErr w:type="spellStart"/>
      <w:r>
        <w:rPr>
          <w:lang w:val="en-GB" w:eastAsia="nl-NL"/>
        </w:rPr>
        <w:t>Multirank</w:t>
      </w:r>
      <w:proofErr w:type="spellEnd"/>
    </w:p>
    <w:p w:rsidR="0034085F" w:rsidRPr="0034085F" w:rsidRDefault="0034085F" w:rsidP="0034085F">
      <w:pPr>
        <w:rPr>
          <w:lang w:val="en-GB" w:eastAsia="nl-NL"/>
        </w:rPr>
      </w:pPr>
      <w:r>
        <w:rPr>
          <w:lang w:val="en-GB" w:eastAsia="nl-NL"/>
        </w:rPr>
        <w:t>Dublin, 30 January 2013</w:t>
      </w:r>
    </w:p>
    <w:p w:rsidR="0034085F" w:rsidRDefault="0034085F" w:rsidP="0034085F">
      <w:pPr>
        <w:rPr>
          <w:lang w:val="en-GB" w:eastAsia="nl-NL"/>
        </w:rPr>
      </w:pPr>
      <w:r>
        <w:rPr>
          <w:lang w:val="en-GB" w:eastAsia="nl-NL"/>
        </w:rPr>
        <w:t>A new university ranking, set up with funding from the EU, has been launched under the Irish EU Presidency in Dublin.  Universities will be ranked according to a broad range of factors in five areas:</w:t>
      </w:r>
    </w:p>
    <w:p w:rsidR="0034085F" w:rsidRDefault="0034085F" w:rsidP="0034085F">
      <w:pPr>
        <w:pStyle w:val="Lijstalinea"/>
        <w:numPr>
          <w:ilvl w:val="0"/>
          <w:numId w:val="23"/>
        </w:numPr>
        <w:rPr>
          <w:lang w:val="en-GB" w:eastAsia="nl-NL"/>
        </w:rPr>
      </w:pPr>
      <w:r>
        <w:rPr>
          <w:lang w:val="en-GB" w:eastAsia="nl-NL"/>
        </w:rPr>
        <w:t>reputation for research</w:t>
      </w:r>
    </w:p>
    <w:p w:rsidR="0034085F" w:rsidRDefault="0034085F" w:rsidP="0034085F">
      <w:pPr>
        <w:pStyle w:val="Lijstalinea"/>
        <w:numPr>
          <w:ilvl w:val="0"/>
          <w:numId w:val="23"/>
        </w:numPr>
        <w:rPr>
          <w:lang w:val="en-GB" w:eastAsia="nl-NL"/>
        </w:rPr>
      </w:pPr>
      <w:r>
        <w:rPr>
          <w:lang w:val="en-GB" w:eastAsia="nl-NL"/>
        </w:rPr>
        <w:t>quality of teaching and learning</w:t>
      </w:r>
    </w:p>
    <w:p w:rsidR="0034085F" w:rsidRDefault="0034085F" w:rsidP="0034085F">
      <w:pPr>
        <w:pStyle w:val="Lijstalinea"/>
        <w:numPr>
          <w:ilvl w:val="0"/>
          <w:numId w:val="23"/>
        </w:numPr>
        <w:rPr>
          <w:lang w:val="en-GB" w:eastAsia="nl-NL"/>
        </w:rPr>
      </w:pPr>
      <w:r>
        <w:rPr>
          <w:lang w:val="en-GB" w:eastAsia="nl-NL"/>
        </w:rPr>
        <w:t>international orientation</w:t>
      </w:r>
    </w:p>
    <w:p w:rsidR="0034085F" w:rsidRDefault="0034085F" w:rsidP="0034085F">
      <w:pPr>
        <w:pStyle w:val="Lijstalinea"/>
        <w:numPr>
          <w:ilvl w:val="0"/>
          <w:numId w:val="23"/>
        </w:numPr>
        <w:rPr>
          <w:lang w:val="en-GB" w:eastAsia="nl-NL"/>
        </w:rPr>
      </w:pPr>
      <w:r>
        <w:rPr>
          <w:lang w:val="en-GB" w:eastAsia="nl-NL"/>
        </w:rPr>
        <w:t>success in knowledge transfer</w:t>
      </w:r>
    </w:p>
    <w:p w:rsidR="0034085F" w:rsidRDefault="0034085F" w:rsidP="0034085F">
      <w:pPr>
        <w:pStyle w:val="Lijstalinea"/>
        <w:numPr>
          <w:ilvl w:val="0"/>
          <w:numId w:val="23"/>
        </w:numPr>
        <w:rPr>
          <w:lang w:val="en-GB" w:eastAsia="nl-NL"/>
        </w:rPr>
      </w:pPr>
      <w:proofErr w:type="gramStart"/>
      <w:r>
        <w:rPr>
          <w:lang w:val="en-GB" w:eastAsia="nl-NL"/>
        </w:rPr>
        <w:t>contribution</w:t>
      </w:r>
      <w:proofErr w:type="gramEnd"/>
      <w:r>
        <w:rPr>
          <w:lang w:val="en-GB" w:eastAsia="nl-NL"/>
        </w:rPr>
        <w:t xml:space="preserve"> to regional growth.</w:t>
      </w:r>
    </w:p>
    <w:p w:rsidR="0034085F" w:rsidRDefault="0034085F" w:rsidP="0034085F">
      <w:pPr>
        <w:rPr>
          <w:lang w:val="en-GB" w:eastAsia="nl-NL"/>
        </w:rPr>
      </w:pPr>
      <w:r>
        <w:rPr>
          <w:lang w:val="en-GB" w:eastAsia="nl-NL"/>
        </w:rPr>
        <w:t>First results are expected to be published in early 2014.</w:t>
      </w:r>
    </w:p>
    <w:p w:rsidR="0034085F" w:rsidRDefault="00BE7C24" w:rsidP="0034085F">
      <w:pPr>
        <w:rPr>
          <w:lang w:val="en-GB" w:eastAsia="nl-NL"/>
        </w:rPr>
      </w:pPr>
      <w:hyperlink r:id="rId16" w:history="1">
        <w:r w:rsidR="0034085F" w:rsidRPr="0034085F">
          <w:rPr>
            <w:rStyle w:val="Hyperlink"/>
            <w:lang w:val="en-GB" w:eastAsia="nl-NL"/>
          </w:rPr>
          <w:t>Presentation of U-</w:t>
        </w:r>
        <w:proofErr w:type="spellStart"/>
        <w:r w:rsidR="0034085F" w:rsidRPr="0034085F">
          <w:rPr>
            <w:rStyle w:val="Hyperlink"/>
            <w:lang w:val="en-GB" w:eastAsia="nl-NL"/>
          </w:rPr>
          <w:t>Multirank</w:t>
        </w:r>
        <w:proofErr w:type="spellEnd"/>
        <w:r w:rsidR="0034085F" w:rsidRPr="0034085F">
          <w:rPr>
            <w:rStyle w:val="Hyperlink"/>
            <w:lang w:val="en-GB" w:eastAsia="nl-NL"/>
          </w:rPr>
          <w:t xml:space="preserve"> by Don </w:t>
        </w:r>
        <w:proofErr w:type="spellStart"/>
        <w:r w:rsidR="0034085F" w:rsidRPr="0034085F">
          <w:rPr>
            <w:rStyle w:val="Hyperlink"/>
            <w:lang w:val="en-GB" w:eastAsia="nl-NL"/>
          </w:rPr>
          <w:t>Westerheijden</w:t>
        </w:r>
        <w:proofErr w:type="spellEnd"/>
        <w:r w:rsidR="0034085F" w:rsidRPr="0034085F">
          <w:rPr>
            <w:rStyle w:val="Hyperlink"/>
            <w:lang w:val="en-GB" w:eastAsia="nl-NL"/>
          </w:rPr>
          <w:t xml:space="preserve"> and Frank </w:t>
        </w:r>
        <w:proofErr w:type="spellStart"/>
        <w:r w:rsidR="0034085F" w:rsidRPr="0034085F">
          <w:rPr>
            <w:rStyle w:val="Hyperlink"/>
            <w:lang w:val="en-GB" w:eastAsia="nl-NL"/>
          </w:rPr>
          <w:t>Ziegele</w:t>
        </w:r>
        <w:proofErr w:type="spellEnd"/>
      </w:hyperlink>
      <w:r w:rsidR="0034085F">
        <w:rPr>
          <w:lang w:val="en-GB" w:eastAsia="nl-NL"/>
        </w:rPr>
        <w:t xml:space="preserve"> </w:t>
      </w:r>
    </w:p>
    <w:p w:rsidR="0034085F" w:rsidRDefault="0034085F" w:rsidP="0034085F">
      <w:pPr>
        <w:rPr>
          <w:lang w:val="en-GB" w:eastAsia="nl-NL"/>
        </w:rPr>
      </w:pPr>
      <w:proofErr w:type="gramStart"/>
      <w:r>
        <w:rPr>
          <w:lang w:val="en-GB" w:eastAsia="nl-NL"/>
        </w:rPr>
        <w:t xml:space="preserve">More information at </w:t>
      </w:r>
      <w:hyperlink r:id="rId17" w:history="1">
        <w:r w:rsidRPr="00BD7FED">
          <w:rPr>
            <w:rStyle w:val="Hyperlink"/>
            <w:lang w:val="en-GB" w:eastAsia="nl-NL"/>
          </w:rPr>
          <w:t>www.umultirank.org</w:t>
        </w:r>
      </w:hyperlink>
      <w:r>
        <w:rPr>
          <w:lang w:val="en-GB" w:eastAsia="nl-NL"/>
        </w:rPr>
        <w:t>.</w:t>
      </w:r>
      <w:proofErr w:type="gramEnd"/>
      <w:r>
        <w:rPr>
          <w:lang w:val="en-GB" w:eastAsia="nl-NL"/>
        </w:rPr>
        <w:t xml:space="preserve">   </w:t>
      </w:r>
    </w:p>
    <w:p w:rsidR="006E3290" w:rsidRDefault="006E3290" w:rsidP="006E3290">
      <w:pPr>
        <w:pStyle w:val="Kop3"/>
        <w:rPr>
          <w:lang w:val="en-GB" w:eastAsia="nl-NL"/>
        </w:rPr>
      </w:pPr>
      <w:r>
        <w:rPr>
          <w:lang w:val="en-GB" w:eastAsia="nl-NL"/>
        </w:rPr>
        <w:t>2.4.2 Conclusions on the social dimension of higher education</w:t>
      </w:r>
    </w:p>
    <w:p w:rsidR="006E3290" w:rsidRDefault="006E3290" w:rsidP="006E3290">
      <w:pPr>
        <w:rPr>
          <w:lang w:val="en-GB" w:eastAsia="nl-NL"/>
        </w:rPr>
      </w:pPr>
      <w:r>
        <w:rPr>
          <w:lang w:val="en-GB" w:eastAsia="nl-NL"/>
        </w:rPr>
        <w:t>Education, Youth, Culture and Sport Council, 16-17 May 2013</w:t>
      </w:r>
    </w:p>
    <w:p w:rsidR="006E3290" w:rsidRDefault="006E3290" w:rsidP="006E3290">
      <w:pPr>
        <w:jc w:val="both"/>
        <w:rPr>
          <w:lang w:val="en-GB" w:eastAsia="nl-NL"/>
        </w:rPr>
      </w:pPr>
      <w:r w:rsidRPr="003553C0">
        <w:rPr>
          <w:lang w:val="en-GB" w:eastAsia="nl-NL"/>
        </w:rPr>
        <w:t xml:space="preserve">The Council invites Member States to adopt national measures to ensure that people from all social groups can access and successfully complete higher education. These measures include improved financial support and counselling for students, providing more opportunities to transfer from </w:t>
      </w:r>
      <w:r w:rsidRPr="003553C0">
        <w:rPr>
          <w:lang w:val="en-GB" w:eastAsia="nl-NL"/>
        </w:rPr>
        <w:lastRenderedPageBreak/>
        <w:t xml:space="preserve">vocational training to higher education, and increasing the flexibility of courses to make it easier to combine work and studies. </w:t>
      </w:r>
    </w:p>
    <w:p w:rsidR="006E3290" w:rsidRPr="006E3290" w:rsidRDefault="006E3290" w:rsidP="006E3290">
      <w:pPr>
        <w:jc w:val="both"/>
        <w:rPr>
          <w:lang w:val="en-GB" w:eastAsia="nl-NL"/>
        </w:rPr>
      </w:pPr>
      <w:r w:rsidRPr="006E3290">
        <w:rPr>
          <w:lang w:val="en-GB" w:eastAsia="nl-NL"/>
        </w:rPr>
        <w:t>As a contribution towards reaching one of the Europe 2020 targets for education, the conclusions</w:t>
      </w:r>
      <w:r w:rsidR="008023A7">
        <w:rPr>
          <w:lang w:val="en-GB" w:eastAsia="nl-NL"/>
        </w:rPr>
        <w:t xml:space="preserve"> </w:t>
      </w:r>
      <w:r w:rsidRPr="006E3290">
        <w:rPr>
          <w:lang w:val="en-GB" w:eastAsia="nl-NL"/>
        </w:rPr>
        <w:t>propose measures to ensure greater access to, participation in and completion of higher education</w:t>
      </w:r>
      <w:r>
        <w:rPr>
          <w:lang w:val="en-GB" w:eastAsia="nl-NL"/>
        </w:rPr>
        <w:t xml:space="preserve"> </w:t>
      </w:r>
      <w:r w:rsidRPr="006E3290">
        <w:rPr>
          <w:lang w:val="en-GB" w:eastAsia="nl-NL"/>
        </w:rPr>
        <w:t xml:space="preserve">for non-traditional learners and students from disadvantaged backgrounds. </w:t>
      </w:r>
    </w:p>
    <w:p w:rsidR="006E3290" w:rsidRDefault="006E3290" w:rsidP="006E3290">
      <w:pPr>
        <w:jc w:val="both"/>
        <w:rPr>
          <w:lang w:val="en-GB" w:eastAsia="nl-NL"/>
        </w:rPr>
      </w:pPr>
      <w:r w:rsidRPr="006E3290">
        <w:rPr>
          <w:lang w:val="en-GB" w:eastAsia="nl-NL"/>
        </w:rPr>
        <w:t>They also call for the development of increased opportunities for more flexible learning using ICT</w:t>
      </w:r>
      <w:r>
        <w:rPr>
          <w:lang w:val="en-GB" w:eastAsia="nl-NL"/>
        </w:rPr>
        <w:t xml:space="preserve"> </w:t>
      </w:r>
      <w:r w:rsidRPr="006E3290">
        <w:rPr>
          <w:lang w:val="en-GB" w:eastAsia="nl-NL"/>
        </w:rPr>
        <w:t>and open educational resources, as well as [or thereby?]</w:t>
      </w:r>
      <w:proofErr w:type="gramStart"/>
      <w:r w:rsidRPr="006E3290">
        <w:rPr>
          <w:lang w:val="en-GB" w:eastAsia="nl-NL"/>
        </w:rPr>
        <w:t>enhancing</w:t>
      </w:r>
      <w:proofErr w:type="gramEnd"/>
      <w:r w:rsidRPr="006E3290">
        <w:rPr>
          <w:lang w:val="en-GB" w:eastAsia="nl-NL"/>
        </w:rPr>
        <w:t xml:space="preserve"> the attractiveness and relevance</w:t>
      </w:r>
      <w:r>
        <w:rPr>
          <w:lang w:val="en-GB" w:eastAsia="nl-NL"/>
        </w:rPr>
        <w:t xml:space="preserve"> </w:t>
      </w:r>
      <w:r w:rsidRPr="006E3290">
        <w:rPr>
          <w:lang w:val="en-GB" w:eastAsia="nl-NL"/>
        </w:rPr>
        <w:t>of higher education courses and adequate learning support.</w:t>
      </w:r>
    </w:p>
    <w:p w:rsidR="006E3290" w:rsidRDefault="006E3290" w:rsidP="006E3290">
      <w:pPr>
        <w:rPr>
          <w:lang w:val="en-GB" w:eastAsia="nl-NL"/>
        </w:rPr>
      </w:pPr>
      <w:r>
        <w:rPr>
          <w:lang w:val="en-GB" w:eastAsia="nl-NL"/>
        </w:rPr>
        <w:t xml:space="preserve">Read the </w:t>
      </w:r>
      <w:hyperlink r:id="rId18" w:history="1">
        <w:r w:rsidRPr="006E3290">
          <w:rPr>
            <w:rStyle w:val="Hyperlink"/>
            <w:lang w:val="en-GB" w:eastAsia="nl-NL"/>
          </w:rPr>
          <w:t>conclusions.</w:t>
        </w:r>
      </w:hyperlink>
    </w:p>
    <w:p w:rsidR="006E3290" w:rsidRPr="006E3290" w:rsidRDefault="006E3290" w:rsidP="006E3290">
      <w:pPr>
        <w:rPr>
          <w:lang w:val="en-GB" w:eastAsia="nl-NL"/>
        </w:rPr>
      </w:pPr>
    </w:p>
    <w:p w:rsidR="00984B35" w:rsidRDefault="00984B35" w:rsidP="00984B35">
      <w:pPr>
        <w:pStyle w:val="Kop2"/>
        <w:rPr>
          <w:lang w:val="en-GB" w:eastAsia="nl-NL"/>
        </w:rPr>
      </w:pPr>
      <w:r>
        <w:rPr>
          <w:lang w:val="en-GB" w:eastAsia="nl-NL"/>
        </w:rPr>
        <w:t xml:space="preserve">2.5 </w:t>
      </w:r>
      <w:r w:rsidR="00387FF3">
        <w:rPr>
          <w:lang w:val="en-GB" w:eastAsia="nl-NL"/>
        </w:rPr>
        <w:t xml:space="preserve">May </w:t>
      </w:r>
      <w:r w:rsidRPr="00984B35">
        <w:rPr>
          <w:lang w:val="en-GB" w:eastAsia="nl-NL"/>
        </w:rPr>
        <w:t>Education, youth, culture and sport council meeting</w:t>
      </w:r>
    </w:p>
    <w:p w:rsidR="00984B35" w:rsidRDefault="00984B35" w:rsidP="00984B35">
      <w:pPr>
        <w:rPr>
          <w:lang w:val="en-GB" w:eastAsia="nl-NL"/>
        </w:rPr>
      </w:pPr>
      <w:r>
        <w:rPr>
          <w:lang w:val="en-GB" w:eastAsia="nl-NL"/>
        </w:rPr>
        <w:t>16 May 2013</w:t>
      </w:r>
    </w:p>
    <w:p w:rsidR="00387FF3" w:rsidRPr="003553C0" w:rsidRDefault="00387FF3" w:rsidP="00984B35">
      <w:pPr>
        <w:rPr>
          <w:lang w:val="en-GB" w:eastAsia="nl-NL"/>
        </w:rPr>
      </w:pPr>
      <w:r w:rsidRPr="003553C0">
        <w:rPr>
          <w:lang w:val="en-GB" w:eastAsia="nl-NL"/>
        </w:rPr>
        <w:t>In the programme of the Irish Presidency, two Council Conclusions were foreseen:</w:t>
      </w:r>
    </w:p>
    <w:p w:rsidR="00387FF3" w:rsidRPr="003553C0" w:rsidRDefault="00387FF3" w:rsidP="00387FF3">
      <w:pPr>
        <w:pStyle w:val="Lijstalinea"/>
        <w:numPr>
          <w:ilvl w:val="0"/>
          <w:numId w:val="23"/>
        </w:numPr>
        <w:rPr>
          <w:lang w:val="en-GB" w:eastAsia="nl-NL"/>
        </w:rPr>
      </w:pPr>
      <w:r w:rsidRPr="003553C0">
        <w:rPr>
          <w:lang w:val="en-GB" w:eastAsia="nl-NL"/>
        </w:rPr>
        <w:t>Council Conclusions on ‘Improving policy support for the teacher profession’</w:t>
      </w:r>
    </w:p>
    <w:p w:rsidR="00387FF3" w:rsidRPr="003553C0" w:rsidRDefault="00387FF3" w:rsidP="00387FF3">
      <w:pPr>
        <w:pStyle w:val="Lijstalinea"/>
        <w:numPr>
          <w:ilvl w:val="0"/>
          <w:numId w:val="23"/>
        </w:numPr>
        <w:rPr>
          <w:lang w:val="en-GB" w:eastAsia="nl-NL"/>
        </w:rPr>
      </w:pPr>
      <w:r w:rsidRPr="003553C0">
        <w:rPr>
          <w:lang w:val="en-GB" w:eastAsia="nl-NL"/>
        </w:rPr>
        <w:t>Council Conclusions on ‘The social dimension of Higher Education’</w:t>
      </w:r>
    </w:p>
    <w:p w:rsidR="006E3290" w:rsidRDefault="000D588D" w:rsidP="000D588D">
      <w:pPr>
        <w:jc w:val="both"/>
        <w:rPr>
          <w:lang w:val="en-GB" w:eastAsia="nl-NL"/>
        </w:rPr>
      </w:pPr>
      <w:r w:rsidRPr="003553C0">
        <w:rPr>
          <w:lang w:val="en-GB" w:eastAsia="nl-NL"/>
        </w:rPr>
        <w:t>The Council adopt</w:t>
      </w:r>
      <w:r w:rsidR="003553C0" w:rsidRPr="003553C0">
        <w:rPr>
          <w:lang w:val="en-GB" w:eastAsia="nl-NL"/>
        </w:rPr>
        <w:t>ed</w:t>
      </w:r>
      <w:r w:rsidRPr="003553C0">
        <w:rPr>
          <w:lang w:val="en-GB" w:eastAsia="nl-NL"/>
        </w:rPr>
        <w:t xml:space="preserve"> conclusions on the social dimension of higher education. Many countries share the Commission's concern about high drop-out rates and the need for a better alignment between what is being taught in higher education and the diverse lea</w:t>
      </w:r>
      <w:r w:rsidR="006E3290">
        <w:rPr>
          <w:lang w:val="en-GB" w:eastAsia="nl-NL"/>
        </w:rPr>
        <w:t xml:space="preserve">rning requirements of students (see also point 2.4.2). </w:t>
      </w:r>
    </w:p>
    <w:p w:rsidR="006E3290" w:rsidRPr="006E3290" w:rsidRDefault="000D588D" w:rsidP="006E3290">
      <w:pPr>
        <w:jc w:val="both"/>
        <w:rPr>
          <w:lang w:val="en-GB" w:eastAsia="nl-NL"/>
        </w:rPr>
      </w:pPr>
      <w:r w:rsidRPr="006E3290">
        <w:rPr>
          <w:lang w:val="en-GB" w:eastAsia="nl-NL"/>
        </w:rPr>
        <w:t xml:space="preserve">The Irish Presidency </w:t>
      </w:r>
      <w:r w:rsidR="006E3290" w:rsidRPr="006E3290">
        <w:rPr>
          <w:lang w:val="en-GB" w:eastAsia="nl-NL"/>
        </w:rPr>
        <w:t>updated the</w:t>
      </w:r>
      <w:r w:rsidRPr="006E3290">
        <w:rPr>
          <w:lang w:val="en-GB" w:eastAsia="nl-NL"/>
        </w:rPr>
        <w:t xml:space="preserve"> Ministers on the negotiations between the Council, European Parliament and Commission on Erasmus for All, the new programme for education, training, youth and sport, due for launch in January. </w:t>
      </w:r>
      <w:r w:rsidR="006E3290" w:rsidRPr="006E3290">
        <w:rPr>
          <w:lang w:val="en-GB" w:eastAsia="nl-NL"/>
        </w:rPr>
        <w:t xml:space="preserve"> The remaining issues concern in particular the programme's name, </w:t>
      </w:r>
      <w:r w:rsidR="006E3290">
        <w:rPr>
          <w:lang w:val="en-GB" w:eastAsia="nl-NL"/>
        </w:rPr>
        <w:t xml:space="preserve">the budget and the relationship </w:t>
      </w:r>
      <w:r w:rsidR="006E3290" w:rsidRPr="006E3290">
        <w:rPr>
          <w:lang w:val="en-GB" w:eastAsia="nl-NL"/>
        </w:rPr>
        <w:t>between the different sectors and key actions, as well as the student’s loan guarantee scheme.</w:t>
      </w:r>
    </w:p>
    <w:p w:rsidR="006E3290" w:rsidRDefault="006E3290" w:rsidP="006E3290">
      <w:pPr>
        <w:jc w:val="both"/>
        <w:rPr>
          <w:lang w:val="en-GB" w:eastAsia="nl-NL"/>
        </w:rPr>
      </w:pPr>
      <w:r w:rsidRPr="006E3290">
        <w:rPr>
          <w:lang w:val="en-GB" w:eastAsia="nl-NL"/>
        </w:rPr>
        <w:t>The Council and the Commission remain clearly favourable to the general name 'Erasmus for All',</w:t>
      </w:r>
      <w:r>
        <w:rPr>
          <w:lang w:val="en-GB" w:eastAsia="nl-NL"/>
        </w:rPr>
        <w:t xml:space="preserve"> </w:t>
      </w:r>
      <w:r w:rsidRPr="006E3290">
        <w:rPr>
          <w:lang w:val="en-GB" w:eastAsia="nl-NL"/>
        </w:rPr>
        <w:t>on the grounds that all sectors of the programme could benefit from wider use of what is one of the</w:t>
      </w:r>
      <w:r>
        <w:rPr>
          <w:lang w:val="en-GB" w:eastAsia="nl-NL"/>
        </w:rPr>
        <w:t xml:space="preserve"> </w:t>
      </w:r>
      <w:r w:rsidRPr="006E3290">
        <w:rPr>
          <w:lang w:val="en-GB" w:eastAsia="nl-NL"/>
        </w:rPr>
        <w:t>best known and most popular EU programme names of all. As always in these negotiations,</w:t>
      </w:r>
      <w:r>
        <w:rPr>
          <w:lang w:val="en-GB" w:eastAsia="nl-NL"/>
        </w:rPr>
        <w:t xml:space="preserve"> </w:t>
      </w:r>
      <w:r w:rsidRPr="006E3290">
        <w:rPr>
          <w:lang w:val="en-GB" w:eastAsia="nl-NL"/>
        </w:rPr>
        <w:t>“nothing is agreed until everything is agreed”, but the Presidency is confident that an overall</w:t>
      </w:r>
      <w:r>
        <w:rPr>
          <w:lang w:val="en-GB" w:eastAsia="nl-NL"/>
        </w:rPr>
        <w:t xml:space="preserve"> </w:t>
      </w:r>
      <w:r w:rsidRPr="006E3290">
        <w:rPr>
          <w:lang w:val="en-GB" w:eastAsia="nl-NL"/>
        </w:rPr>
        <w:t>agreement will be found before the end of its Presidency.</w:t>
      </w:r>
    </w:p>
    <w:p w:rsidR="000D588D" w:rsidRDefault="000D588D" w:rsidP="000D588D">
      <w:pPr>
        <w:jc w:val="both"/>
        <w:rPr>
          <w:lang w:val="en" w:eastAsia="nl-NL"/>
        </w:rPr>
      </w:pPr>
      <w:r w:rsidRPr="0087541C">
        <w:rPr>
          <w:lang w:val="en" w:eastAsia="nl-NL"/>
        </w:rPr>
        <w:t>Ministers debate</w:t>
      </w:r>
      <w:r w:rsidR="0087541C" w:rsidRPr="0087541C">
        <w:rPr>
          <w:lang w:val="en" w:eastAsia="nl-NL"/>
        </w:rPr>
        <w:t>d</w:t>
      </w:r>
      <w:r w:rsidRPr="0087541C">
        <w:rPr>
          <w:lang w:val="en" w:eastAsia="nl-NL"/>
        </w:rPr>
        <w:t xml:space="preserve"> “Ensuring a teaching profession of the highest quality to underpin the achievement of better learning outcomes”. To ensure a lively and informative debate, the Presidency has invited two guest speakers: </w:t>
      </w:r>
      <w:proofErr w:type="spellStart"/>
      <w:r w:rsidRPr="0087541C">
        <w:rPr>
          <w:lang w:val="en" w:eastAsia="nl-NL"/>
        </w:rPr>
        <w:t>Pasi</w:t>
      </w:r>
      <w:proofErr w:type="spellEnd"/>
      <w:r w:rsidRPr="0087541C">
        <w:rPr>
          <w:lang w:val="en" w:eastAsia="nl-NL"/>
        </w:rPr>
        <w:t xml:space="preserve"> </w:t>
      </w:r>
      <w:proofErr w:type="spellStart"/>
      <w:r w:rsidRPr="0087541C">
        <w:rPr>
          <w:lang w:val="en" w:eastAsia="nl-NL"/>
        </w:rPr>
        <w:t>Sahlberg</w:t>
      </w:r>
      <w:proofErr w:type="spellEnd"/>
      <w:r w:rsidRPr="0087541C">
        <w:rPr>
          <w:lang w:val="en" w:eastAsia="nl-NL"/>
        </w:rPr>
        <w:t>, Finnish Education Expert, and Christine Blower, President of the European Trade Union Committee for Education and General Secretary of the National Union of Teachers.</w:t>
      </w:r>
    </w:p>
    <w:p w:rsidR="000D588D" w:rsidRDefault="000D588D" w:rsidP="000D588D">
      <w:pPr>
        <w:jc w:val="both"/>
        <w:rPr>
          <w:lang w:val="en" w:eastAsia="nl-NL"/>
        </w:rPr>
      </w:pPr>
      <w:r>
        <w:rPr>
          <w:lang w:val="en" w:eastAsia="nl-NL"/>
        </w:rPr>
        <w:t xml:space="preserve">Read the </w:t>
      </w:r>
      <w:hyperlink r:id="rId19" w:history="1">
        <w:r w:rsidRPr="000D588D">
          <w:rPr>
            <w:rStyle w:val="Hyperlink"/>
            <w:lang w:val="en" w:eastAsia="nl-NL"/>
          </w:rPr>
          <w:t>background note</w:t>
        </w:r>
      </w:hyperlink>
      <w:r>
        <w:rPr>
          <w:lang w:val="en" w:eastAsia="nl-NL"/>
        </w:rPr>
        <w:t xml:space="preserve"> </w:t>
      </w:r>
      <w:r w:rsidR="006E3290">
        <w:rPr>
          <w:lang w:val="en" w:eastAsia="nl-NL"/>
        </w:rPr>
        <w:t xml:space="preserve">and the </w:t>
      </w:r>
      <w:hyperlink r:id="rId20" w:history="1">
        <w:r w:rsidR="006E3290" w:rsidRPr="006E3290">
          <w:rPr>
            <w:rStyle w:val="Hyperlink"/>
            <w:lang w:val="en" w:eastAsia="nl-NL"/>
          </w:rPr>
          <w:t>press release</w:t>
        </w:r>
      </w:hyperlink>
      <w:r w:rsidR="006E3290">
        <w:rPr>
          <w:lang w:val="en" w:eastAsia="nl-NL"/>
        </w:rPr>
        <w:t xml:space="preserve"> </w:t>
      </w:r>
      <w:r>
        <w:rPr>
          <w:lang w:val="en" w:eastAsia="nl-NL"/>
        </w:rPr>
        <w:t>of the Council meeting</w:t>
      </w:r>
      <w:r w:rsidR="006E3290">
        <w:rPr>
          <w:lang w:val="en" w:eastAsia="nl-NL"/>
        </w:rPr>
        <w:t>.</w:t>
      </w:r>
      <w:r>
        <w:rPr>
          <w:lang w:val="en" w:eastAsia="nl-NL"/>
        </w:rPr>
        <w:t xml:space="preserve"> </w:t>
      </w:r>
    </w:p>
    <w:p w:rsidR="0096540F" w:rsidRDefault="0096540F" w:rsidP="0096540F">
      <w:pPr>
        <w:pStyle w:val="Kop1"/>
        <w:numPr>
          <w:ilvl w:val="0"/>
          <w:numId w:val="16"/>
        </w:numPr>
        <w:rPr>
          <w:rFonts w:eastAsia="Times New Roman"/>
          <w:lang w:val="en-GB"/>
        </w:rPr>
      </w:pPr>
      <w:r>
        <w:rPr>
          <w:rFonts w:eastAsia="Times New Roman"/>
          <w:lang w:val="en-GB"/>
        </w:rPr>
        <w:lastRenderedPageBreak/>
        <w:t>Developments in other policy domains</w:t>
      </w:r>
    </w:p>
    <w:p w:rsidR="0096540F" w:rsidRDefault="0096540F" w:rsidP="00346EA6">
      <w:pPr>
        <w:pStyle w:val="Kop2"/>
        <w:numPr>
          <w:ilvl w:val="1"/>
          <w:numId w:val="16"/>
        </w:numPr>
        <w:rPr>
          <w:rFonts w:eastAsia="Times New Roman"/>
          <w:lang w:val="en-GB"/>
        </w:rPr>
      </w:pPr>
      <w:r w:rsidRPr="003C250C">
        <w:rPr>
          <w:rFonts w:eastAsia="Times New Roman"/>
          <w:lang w:val="en-GB"/>
        </w:rPr>
        <w:t xml:space="preserve">Youth employment package </w:t>
      </w:r>
    </w:p>
    <w:p w:rsidR="00346EA6" w:rsidRPr="00346EA6" w:rsidRDefault="00346EA6" w:rsidP="00346EA6">
      <w:pPr>
        <w:rPr>
          <w:lang w:val="en-GB"/>
        </w:rPr>
      </w:pPr>
      <w:r>
        <w:rPr>
          <w:lang w:val="en-GB"/>
        </w:rPr>
        <w:t>European Commission, 5 December 2012</w:t>
      </w:r>
    </w:p>
    <w:p w:rsidR="00346EA6" w:rsidRPr="00346EA6" w:rsidRDefault="00346EA6" w:rsidP="00346EA6">
      <w:pPr>
        <w:jc w:val="both"/>
        <w:rPr>
          <w:rFonts w:eastAsia="Times New Roman"/>
          <w:lang w:val="en" w:eastAsia="nl-NL"/>
        </w:rPr>
      </w:pPr>
      <w:r w:rsidRPr="00346EA6">
        <w:rPr>
          <w:rFonts w:eastAsia="Times New Roman"/>
          <w:lang w:val="en" w:eastAsia="nl-NL"/>
        </w:rPr>
        <w:t>Measures to help Member States tackle unacceptable levels of youth unemployment and social exclusion by giving young people offers of jobs, education and training have been proposed by the European Commission.</w:t>
      </w:r>
    </w:p>
    <w:p w:rsidR="00346EA6" w:rsidRPr="00346EA6" w:rsidRDefault="00346EA6" w:rsidP="00387FF3">
      <w:pPr>
        <w:jc w:val="both"/>
        <w:rPr>
          <w:rFonts w:eastAsia="Times New Roman"/>
          <w:lang w:val="en" w:eastAsia="nl-NL"/>
        </w:rPr>
      </w:pPr>
      <w:r w:rsidRPr="00346EA6">
        <w:rPr>
          <w:rFonts w:eastAsia="Times New Roman"/>
          <w:lang w:val="en" w:eastAsia="nl-NL"/>
        </w:rPr>
        <w:t xml:space="preserve">As requested by the European Council and European Parliament, the Commission's Youth Employment Package includes a proposed </w:t>
      </w:r>
      <w:r w:rsidRPr="00346EA6">
        <w:rPr>
          <w:rFonts w:eastAsia="Times New Roman"/>
          <w:b/>
          <w:bCs/>
          <w:lang w:val="en" w:eastAsia="nl-NL"/>
        </w:rPr>
        <w:t>Recommendation to Member States on introducing the Youth Guarantee</w:t>
      </w:r>
      <w:r w:rsidRPr="00346EA6">
        <w:rPr>
          <w:rFonts w:eastAsia="Times New Roman"/>
          <w:lang w:val="en" w:eastAsia="nl-NL"/>
        </w:rPr>
        <w:t xml:space="preserve"> </w:t>
      </w:r>
      <w:r w:rsidR="00387FF3">
        <w:rPr>
          <w:rFonts w:eastAsia="Times New Roman"/>
          <w:lang w:val="en" w:eastAsia="nl-NL"/>
        </w:rPr>
        <w:t xml:space="preserve">(cf. infra point 3.2). </w:t>
      </w:r>
    </w:p>
    <w:p w:rsidR="00AB7A6A" w:rsidRPr="00346EA6" w:rsidRDefault="00346EA6" w:rsidP="00346EA6">
      <w:pPr>
        <w:jc w:val="both"/>
        <w:rPr>
          <w:rFonts w:eastAsia="Times New Roman"/>
          <w:lang w:val="en" w:eastAsia="nl-NL"/>
        </w:rPr>
      </w:pPr>
      <w:r w:rsidRPr="00346EA6">
        <w:rPr>
          <w:rFonts w:eastAsia="Times New Roman"/>
          <w:lang w:val="en" w:eastAsia="nl-NL"/>
        </w:rPr>
        <w:t xml:space="preserve">Furthermore, it announces a </w:t>
      </w:r>
      <w:r w:rsidRPr="00346EA6">
        <w:rPr>
          <w:rFonts w:eastAsia="Times New Roman"/>
          <w:b/>
          <w:bCs/>
          <w:lang w:val="en" w:eastAsia="nl-NL"/>
        </w:rPr>
        <w:t>European Alliance for Apprenticeships</w:t>
      </w:r>
      <w:r w:rsidRPr="00346EA6">
        <w:rPr>
          <w:rFonts w:eastAsia="Times New Roman"/>
          <w:lang w:val="en" w:eastAsia="nl-NL"/>
        </w:rPr>
        <w:t xml:space="preserve"> to improve the quality and supply of apprenticeships available by spreading successful apprenticeship schemes across the Member States and outlines ways to reduce obstacles to mobility for young people.</w:t>
      </w:r>
    </w:p>
    <w:p w:rsidR="00AB7A6A" w:rsidRDefault="00346EA6" w:rsidP="00346EA6">
      <w:pPr>
        <w:jc w:val="both"/>
        <w:rPr>
          <w:rFonts w:eastAsia="Times New Roman"/>
          <w:lang w:val="en-GB" w:eastAsia="nl-NL"/>
        </w:rPr>
      </w:pPr>
      <w:r>
        <w:rPr>
          <w:rFonts w:eastAsia="Times New Roman"/>
          <w:lang w:val="en-GB" w:eastAsia="nl-NL"/>
        </w:rPr>
        <w:t xml:space="preserve">Read </w:t>
      </w:r>
      <w:hyperlink r:id="rId21" w:history="1">
        <w:r w:rsidRPr="00346EA6">
          <w:rPr>
            <w:rStyle w:val="Hyperlink"/>
            <w:rFonts w:eastAsia="Times New Roman"/>
            <w:lang w:val="en-GB" w:eastAsia="nl-NL"/>
          </w:rPr>
          <w:t>the related documents</w:t>
        </w:r>
      </w:hyperlink>
      <w:r>
        <w:rPr>
          <w:rFonts w:eastAsia="Times New Roman"/>
          <w:lang w:val="en-GB" w:eastAsia="nl-NL"/>
        </w:rPr>
        <w:t xml:space="preserve">. </w:t>
      </w:r>
    </w:p>
    <w:p w:rsidR="00984B35" w:rsidRPr="00984B35" w:rsidRDefault="00984B35" w:rsidP="00984B35">
      <w:pPr>
        <w:pStyle w:val="Kop2"/>
        <w:numPr>
          <w:ilvl w:val="1"/>
          <w:numId w:val="16"/>
        </w:numPr>
        <w:rPr>
          <w:rFonts w:eastAsia="Times New Roman"/>
          <w:lang w:val="en-GB"/>
        </w:rPr>
      </w:pPr>
      <w:r w:rsidRPr="00984B35">
        <w:rPr>
          <w:rFonts w:eastAsia="Times New Roman"/>
          <w:lang w:val="en-GB"/>
        </w:rPr>
        <w:t>Youth Guarantee Recommendation</w:t>
      </w:r>
    </w:p>
    <w:p w:rsidR="00984B35" w:rsidRPr="00984B35" w:rsidRDefault="00984B35" w:rsidP="00984B35">
      <w:pPr>
        <w:rPr>
          <w:lang w:val="en-GB"/>
        </w:rPr>
      </w:pPr>
      <w:r w:rsidRPr="00984B35">
        <w:rPr>
          <w:lang w:val="en-GB"/>
        </w:rPr>
        <w:t>Council of Employment and Social Affairs, 28 February 2013</w:t>
      </w:r>
    </w:p>
    <w:p w:rsidR="00984B35" w:rsidRDefault="00984B35" w:rsidP="00984B35">
      <w:pPr>
        <w:jc w:val="both"/>
        <w:rPr>
          <w:lang w:val="en-GB"/>
        </w:rPr>
      </w:pPr>
      <w:r>
        <w:rPr>
          <w:lang w:val="en-GB"/>
        </w:rPr>
        <w:t xml:space="preserve">This recommendation is linked to the Youth Employment Initiative supra amounting to 6 billion euro for the period 2014-2020 to support the measures set out in the Youth Employment Package of 5 December 2012. </w:t>
      </w:r>
    </w:p>
    <w:p w:rsidR="00984B35" w:rsidRDefault="00984B35" w:rsidP="00984B35">
      <w:pPr>
        <w:jc w:val="both"/>
        <w:rPr>
          <w:lang w:val="en-GB"/>
        </w:rPr>
      </w:pPr>
      <w:r>
        <w:rPr>
          <w:lang w:val="en-GB"/>
        </w:rPr>
        <w:t>The Council recommends that all young people under the age of 25 years receive a good-quality offer of employment, continued education, an apprenticeship or a traineeship within a period of four months of becoming unemployed or leaving formal education.</w:t>
      </w:r>
    </w:p>
    <w:p w:rsidR="00984B35" w:rsidRPr="00984B35" w:rsidRDefault="00984B35" w:rsidP="00984B35">
      <w:pPr>
        <w:jc w:val="both"/>
        <w:rPr>
          <w:lang w:val="en-GB"/>
        </w:rPr>
      </w:pPr>
      <w:r w:rsidRPr="00984B35">
        <w:rPr>
          <w:lang w:val="en-GB"/>
        </w:rPr>
        <w:t>Youth Guarantee Schemes should be based on the following guidelines</w:t>
      </w:r>
      <w:r>
        <w:rPr>
          <w:lang w:val="en-GB"/>
        </w:rPr>
        <w:t>:</w:t>
      </w:r>
    </w:p>
    <w:p w:rsidR="00984B35" w:rsidRDefault="00984B35" w:rsidP="00984B35">
      <w:pPr>
        <w:pStyle w:val="Lijstalinea"/>
        <w:numPr>
          <w:ilvl w:val="0"/>
          <w:numId w:val="28"/>
        </w:numPr>
        <w:jc w:val="both"/>
        <w:rPr>
          <w:lang w:val="en-GB"/>
        </w:rPr>
      </w:pPr>
      <w:r>
        <w:rPr>
          <w:lang w:val="en-GB"/>
        </w:rPr>
        <w:t xml:space="preserve">Building up partnership-based approaches (strengthen </w:t>
      </w:r>
      <w:proofErr w:type="spellStart"/>
      <w:r>
        <w:rPr>
          <w:lang w:val="en-GB"/>
        </w:rPr>
        <w:t>parnerships</w:t>
      </w:r>
      <w:proofErr w:type="spellEnd"/>
      <w:r>
        <w:rPr>
          <w:lang w:val="en-GB"/>
        </w:rPr>
        <w:t xml:space="preserve"> between employers and relevant labour market players; develop partnerships between public and private employment services, education and training institutions, career guidance services and with other specialised youth services; ensure the active involvement of social partners at all levels in designing and implementing policies targeted at young people; ensure the consultation of young people and/or youth organisations in designing and further developing the Youth Guarantee Scheme.</w:t>
      </w:r>
    </w:p>
    <w:p w:rsidR="00984B35" w:rsidRDefault="00984B35" w:rsidP="00984B35">
      <w:pPr>
        <w:pStyle w:val="Lijstalinea"/>
        <w:numPr>
          <w:ilvl w:val="0"/>
          <w:numId w:val="28"/>
        </w:numPr>
        <w:jc w:val="both"/>
      </w:pPr>
      <w:proofErr w:type="spellStart"/>
      <w:r>
        <w:t>Early</w:t>
      </w:r>
      <w:proofErr w:type="spellEnd"/>
      <w:r>
        <w:t xml:space="preserve"> </w:t>
      </w:r>
      <w:proofErr w:type="spellStart"/>
      <w:r>
        <w:t>intervention</w:t>
      </w:r>
      <w:proofErr w:type="spellEnd"/>
      <w:r>
        <w:t xml:space="preserve"> </w:t>
      </w:r>
      <w:proofErr w:type="spellStart"/>
      <w:r>
        <w:t>and</w:t>
      </w:r>
      <w:proofErr w:type="spellEnd"/>
      <w:r>
        <w:t xml:space="preserve"> </w:t>
      </w:r>
      <w:proofErr w:type="spellStart"/>
      <w:r>
        <w:t>activation</w:t>
      </w:r>
      <w:proofErr w:type="spellEnd"/>
    </w:p>
    <w:p w:rsidR="00984B35" w:rsidRPr="00984B35" w:rsidRDefault="00984B35" w:rsidP="00984B35">
      <w:pPr>
        <w:pStyle w:val="Lijstalinea"/>
        <w:numPr>
          <w:ilvl w:val="0"/>
          <w:numId w:val="28"/>
        </w:numPr>
        <w:jc w:val="both"/>
        <w:rPr>
          <w:lang w:val="en-GB"/>
        </w:rPr>
      </w:pPr>
      <w:r w:rsidRPr="00984B35">
        <w:rPr>
          <w:lang w:val="en-GB"/>
        </w:rPr>
        <w:t>Supportive measures for labour market integration</w:t>
      </w:r>
    </w:p>
    <w:p w:rsidR="00984B35" w:rsidRDefault="00984B35" w:rsidP="00984B35">
      <w:pPr>
        <w:pStyle w:val="Lijstalinea"/>
        <w:numPr>
          <w:ilvl w:val="0"/>
          <w:numId w:val="28"/>
        </w:numPr>
        <w:jc w:val="both"/>
      </w:pPr>
      <w:proofErr w:type="spellStart"/>
      <w:r>
        <w:t>Use</w:t>
      </w:r>
      <w:proofErr w:type="spellEnd"/>
      <w:r>
        <w:t xml:space="preserve"> of EU funds</w:t>
      </w:r>
    </w:p>
    <w:p w:rsidR="00984B35" w:rsidRDefault="00984B35" w:rsidP="00984B35">
      <w:pPr>
        <w:pStyle w:val="Lijstalinea"/>
        <w:numPr>
          <w:ilvl w:val="0"/>
          <w:numId w:val="28"/>
        </w:numPr>
        <w:jc w:val="both"/>
        <w:rPr>
          <w:lang w:val="en-GB"/>
        </w:rPr>
      </w:pPr>
      <w:r w:rsidRPr="00984B35">
        <w:rPr>
          <w:lang w:val="en-GB"/>
        </w:rPr>
        <w:t>Assessment and continuous improvement of schemes</w:t>
      </w:r>
    </w:p>
    <w:p w:rsidR="000D588D" w:rsidRDefault="002D1A8D" w:rsidP="000D588D">
      <w:pPr>
        <w:jc w:val="both"/>
        <w:rPr>
          <w:lang w:val="en-GB"/>
        </w:rPr>
      </w:pPr>
      <w:r>
        <w:rPr>
          <w:lang w:val="en-GB"/>
        </w:rPr>
        <w:t xml:space="preserve">Read the </w:t>
      </w:r>
      <w:hyperlink r:id="rId22" w:history="1">
        <w:r w:rsidRPr="002D1A8D">
          <w:rPr>
            <w:rStyle w:val="Hyperlink"/>
            <w:lang w:val="en-GB"/>
          </w:rPr>
          <w:t>recommendation.</w:t>
        </w:r>
      </w:hyperlink>
    </w:p>
    <w:p w:rsidR="008023A7" w:rsidRPr="000D588D" w:rsidRDefault="008023A7" w:rsidP="000D588D">
      <w:pPr>
        <w:jc w:val="both"/>
        <w:rPr>
          <w:lang w:val="en-GB"/>
        </w:rPr>
      </w:pPr>
    </w:p>
    <w:p w:rsidR="000B4B05" w:rsidRPr="000B4B05" w:rsidRDefault="000B4B05" w:rsidP="000B4B05">
      <w:pPr>
        <w:pStyle w:val="Kop2"/>
        <w:numPr>
          <w:ilvl w:val="1"/>
          <w:numId w:val="16"/>
        </w:numPr>
        <w:rPr>
          <w:rFonts w:eastAsia="Times New Roman"/>
          <w:lang w:val="en-GB"/>
        </w:rPr>
      </w:pPr>
      <w:r w:rsidRPr="000B4B05">
        <w:rPr>
          <w:rFonts w:eastAsia="Times New Roman"/>
          <w:lang w:val="en-GB"/>
        </w:rPr>
        <w:lastRenderedPageBreak/>
        <w:t>Grand Coalition for Digital Jobs</w:t>
      </w:r>
    </w:p>
    <w:p w:rsidR="000B4B05" w:rsidRDefault="000B4B05" w:rsidP="000B4B05">
      <w:pPr>
        <w:jc w:val="both"/>
        <w:rPr>
          <w:rFonts w:eastAsia="Times New Roman"/>
          <w:lang w:val="en-GB" w:eastAsia="nl-NL"/>
        </w:rPr>
      </w:pPr>
      <w:r>
        <w:rPr>
          <w:rFonts w:eastAsia="Times New Roman"/>
          <w:lang w:val="en-GB" w:eastAsia="nl-NL"/>
        </w:rPr>
        <w:t>European Commission, 4 March 2013</w:t>
      </w:r>
    </w:p>
    <w:p w:rsidR="000B4B05" w:rsidRPr="000B4B05" w:rsidRDefault="000B4B05" w:rsidP="000B4B05">
      <w:pPr>
        <w:jc w:val="both"/>
        <w:rPr>
          <w:rFonts w:eastAsia="Times New Roman"/>
          <w:lang w:val="en-GB" w:eastAsia="nl-NL"/>
        </w:rPr>
      </w:pPr>
      <w:r w:rsidRPr="000B4B05">
        <w:rPr>
          <w:rFonts w:eastAsia="Times New Roman"/>
          <w:lang w:val="en-GB" w:eastAsia="nl-NL"/>
        </w:rPr>
        <w:t xml:space="preserve">Following the Employment </w:t>
      </w:r>
      <w:proofErr w:type="gramStart"/>
      <w:r w:rsidRPr="000B4B05">
        <w:rPr>
          <w:rFonts w:eastAsia="Times New Roman"/>
          <w:lang w:val="en-GB" w:eastAsia="nl-NL"/>
        </w:rPr>
        <w:t>Package  of</w:t>
      </w:r>
      <w:proofErr w:type="gramEnd"/>
      <w:r w:rsidRPr="000B4B05">
        <w:rPr>
          <w:rFonts w:eastAsia="Times New Roman"/>
          <w:lang w:val="en-GB" w:eastAsia="nl-NL"/>
        </w:rPr>
        <w:t xml:space="preserve"> April 2012 VP </w:t>
      </w:r>
      <w:proofErr w:type="spellStart"/>
      <w:r w:rsidRPr="000B4B05">
        <w:rPr>
          <w:rFonts w:eastAsia="Times New Roman"/>
          <w:lang w:val="en-GB" w:eastAsia="nl-NL"/>
        </w:rPr>
        <w:t>Kroes</w:t>
      </w:r>
      <w:proofErr w:type="spellEnd"/>
      <w:r w:rsidRPr="000B4B05">
        <w:rPr>
          <w:rFonts w:eastAsia="Times New Roman"/>
          <w:lang w:val="en-GB" w:eastAsia="nl-NL"/>
        </w:rPr>
        <w:t xml:space="preserve"> called for the formation of a multi-stakeholder partnership, the </w:t>
      </w:r>
      <w:hyperlink r:id="rId23" w:history="1">
        <w:r w:rsidRPr="000B4B05">
          <w:rPr>
            <w:rStyle w:val="Hyperlink"/>
            <w:rFonts w:eastAsia="Times New Roman"/>
            <w:lang w:val="en-GB" w:eastAsia="nl-NL"/>
          </w:rPr>
          <w:t>Grand Coalition for Digital Jobs</w:t>
        </w:r>
      </w:hyperlink>
      <w:r w:rsidRPr="000B4B05">
        <w:rPr>
          <w:rFonts w:eastAsia="Times New Roman"/>
          <w:lang w:val="en-GB" w:eastAsia="nl-NL"/>
        </w:rPr>
        <w:t>,  to tackle the twin issues of a projected shortfall of up to 900,000 ICT professionals in Europe by 2015, exacerbated by a decline in computing science graduates.</w:t>
      </w:r>
    </w:p>
    <w:p w:rsidR="000B4B05" w:rsidRPr="000B4B05" w:rsidRDefault="000B4B05" w:rsidP="000B4B05">
      <w:pPr>
        <w:jc w:val="both"/>
        <w:rPr>
          <w:rFonts w:eastAsia="Times New Roman"/>
          <w:lang w:val="en-GB" w:eastAsia="nl-NL"/>
        </w:rPr>
      </w:pPr>
      <w:r w:rsidRPr="000B4B05">
        <w:rPr>
          <w:rFonts w:eastAsia="Times New Roman"/>
          <w:lang w:val="en-GB" w:eastAsia="nl-NL"/>
        </w:rPr>
        <w:t xml:space="preserve">On 4-5 March 2013 the </w:t>
      </w:r>
      <w:r w:rsidRPr="0068459B">
        <w:rPr>
          <w:rFonts w:eastAsia="Times New Roman"/>
          <w:lang w:val="en-GB" w:eastAsia="nl-NL"/>
        </w:rPr>
        <w:t xml:space="preserve">Commission launched the Grand Coalition </w:t>
      </w:r>
      <w:r w:rsidRPr="000B4B05">
        <w:rPr>
          <w:rFonts w:eastAsia="Times New Roman"/>
          <w:lang w:val="en-GB" w:eastAsia="nl-NL"/>
        </w:rPr>
        <w:t xml:space="preserve">at a </w:t>
      </w:r>
      <w:hyperlink r:id="rId24" w:history="1">
        <w:r w:rsidRPr="000B4B05">
          <w:rPr>
            <w:rStyle w:val="Hyperlink"/>
            <w:rFonts w:eastAsia="Times New Roman"/>
            <w:lang w:val="en-GB" w:eastAsia="nl-NL"/>
          </w:rPr>
          <w:t>Conference</w:t>
        </w:r>
      </w:hyperlink>
      <w:r w:rsidRPr="000B4B05">
        <w:rPr>
          <w:rFonts w:eastAsia="Times New Roman"/>
          <w:lang w:val="en-GB" w:eastAsia="nl-NL"/>
        </w:rPr>
        <w:t xml:space="preserve"> in Brussels, which was hosted </w:t>
      </w:r>
      <w:proofErr w:type="gramStart"/>
      <w:r w:rsidRPr="000B4B05">
        <w:rPr>
          <w:rFonts w:eastAsia="Times New Roman"/>
          <w:lang w:val="en-GB" w:eastAsia="nl-NL"/>
        </w:rPr>
        <w:t>by  </w:t>
      </w:r>
      <w:r w:rsidR="0068459B">
        <w:rPr>
          <w:rFonts w:eastAsia="Times New Roman"/>
          <w:lang w:val="en-GB" w:eastAsia="nl-NL"/>
        </w:rPr>
        <w:t>President</w:t>
      </w:r>
      <w:proofErr w:type="gramEnd"/>
      <w:r w:rsidR="0068459B">
        <w:rPr>
          <w:rFonts w:eastAsia="Times New Roman"/>
          <w:lang w:val="en-GB" w:eastAsia="nl-NL"/>
        </w:rPr>
        <w:t xml:space="preserve"> José Manuel </w:t>
      </w:r>
      <w:proofErr w:type="spellStart"/>
      <w:r w:rsidR="0068459B">
        <w:rPr>
          <w:rFonts w:eastAsia="Times New Roman"/>
          <w:lang w:val="en-GB" w:eastAsia="nl-NL"/>
        </w:rPr>
        <w:t>Barroso</w:t>
      </w:r>
      <w:proofErr w:type="spellEnd"/>
      <w:r w:rsidR="0068459B">
        <w:rPr>
          <w:rFonts w:eastAsia="Times New Roman"/>
          <w:lang w:val="en-GB" w:eastAsia="nl-NL"/>
        </w:rPr>
        <w:t xml:space="preserve">. </w:t>
      </w:r>
      <w:r w:rsidR="0068459B" w:rsidRPr="000B4B05">
        <w:rPr>
          <w:rFonts w:eastAsia="Times New Roman"/>
          <w:lang w:val="en-GB" w:eastAsia="nl-NL"/>
        </w:rPr>
        <w:t xml:space="preserve"> </w:t>
      </w:r>
      <w:r w:rsidRPr="000B4B05">
        <w:rPr>
          <w:rFonts w:eastAsia="Times New Roman"/>
          <w:lang w:val="en-GB" w:eastAsia="nl-NL"/>
        </w:rPr>
        <w:t xml:space="preserve">Its aim is to increase the overall supply of digitally skilled professionals and to better match supply and demand of digital skills. A number of organizations made concrete </w:t>
      </w:r>
      <w:hyperlink r:id="rId25" w:history="1">
        <w:r w:rsidRPr="000B4B05">
          <w:rPr>
            <w:rStyle w:val="Hyperlink"/>
            <w:rFonts w:eastAsia="Times New Roman"/>
            <w:lang w:val="en-GB" w:eastAsia="nl-NL"/>
          </w:rPr>
          <w:t>pledges</w:t>
        </w:r>
      </w:hyperlink>
      <w:r w:rsidRPr="000B4B05">
        <w:rPr>
          <w:rFonts w:eastAsia="Times New Roman"/>
          <w:lang w:val="en-GB" w:eastAsia="nl-NL"/>
        </w:rPr>
        <w:t xml:space="preserve"> to the Grand Coalition. The Commission has also announced support measures, including € 1 million from the Competitiveness and Innovation programme to support a </w:t>
      </w:r>
      <w:r w:rsidRPr="0068459B">
        <w:rPr>
          <w:rFonts w:eastAsia="Times New Roman"/>
          <w:lang w:val="en-GB" w:eastAsia="nl-NL"/>
        </w:rPr>
        <w:t>Thematic Network on the Grand Coalition</w:t>
      </w:r>
      <w:r w:rsidRPr="000B4B05">
        <w:rPr>
          <w:rFonts w:eastAsia="Times New Roman"/>
          <w:lang w:val="en-GB" w:eastAsia="nl-NL"/>
        </w:rPr>
        <w:t>. </w:t>
      </w:r>
      <w:r w:rsidR="0068459B" w:rsidRPr="000B4B05">
        <w:rPr>
          <w:rFonts w:eastAsia="Times New Roman"/>
          <w:lang w:val="en-GB" w:eastAsia="nl-NL"/>
        </w:rPr>
        <w:t xml:space="preserve"> </w:t>
      </w:r>
      <w:r w:rsidRPr="000B4B05">
        <w:rPr>
          <w:rFonts w:eastAsia="Times New Roman"/>
          <w:lang w:val="en-GB" w:eastAsia="nl-NL"/>
        </w:rPr>
        <w:t>This is only the first round of commitments. The success of the Grand Coalition depends on th</w:t>
      </w:r>
      <w:r w:rsidR="008023A7">
        <w:rPr>
          <w:rFonts w:eastAsia="Times New Roman"/>
          <w:lang w:val="en-GB" w:eastAsia="nl-NL"/>
        </w:rPr>
        <w:t xml:space="preserve">e involvement of stakeholders. </w:t>
      </w:r>
    </w:p>
    <w:p w:rsidR="008844B9" w:rsidRPr="008844B9" w:rsidRDefault="008844B9" w:rsidP="008844B9">
      <w:pPr>
        <w:pStyle w:val="Kop1"/>
        <w:numPr>
          <w:ilvl w:val="0"/>
          <w:numId w:val="16"/>
        </w:numPr>
        <w:rPr>
          <w:rFonts w:eastAsia="Times New Roman"/>
          <w:lang w:val="en-GB"/>
        </w:rPr>
      </w:pPr>
      <w:r>
        <w:rPr>
          <w:rFonts w:eastAsia="Times New Roman"/>
          <w:lang w:val="en-GB"/>
        </w:rPr>
        <w:t xml:space="preserve">Conferences and studies </w:t>
      </w:r>
    </w:p>
    <w:p w:rsidR="00AB7A6A" w:rsidRDefault="008844B9" w:rsidP="008844B9">
      <w:pPr>
        <w:pStyle w:val="Kop2"/>
        <w:numPr>
          <w:ilvl w:val="1"/>
          <w:numId w:val="16"/>
        </w:numPr>
        <w:rPr>
          <w:rFonts w:eastAsia="Times New Roman"/>
          <w:lang w:val="en-GB"/>
        </w:rPr>
      </w:pPr>
      <w:r>
        <w:rPr>
          <w:rFonts w:eastAsia="Times New Roman"/>
          <w:lang w:val="en-GB"/>
        </w:rPr>
        <w:t>Physical educati</w:t>
      </w:r>
      <w:r w:rsidR="004A678D">
        <w:rPr>
          <w:rFonts w:eastAsia="Times New Roman"/>
          <w:lang w:val="en-GB"/>
        </w:rPr>
        <w:t>on and sport at school in Europe</w:t>
      </w:r>
    </w:p>
    <w:p w:rsidR="008844B9" w:rsidRDefault="008844B9" w:rsidP="008844B9">
      <w:pPr>
        <w:rPr>
          <w:lang w:val="en-GB"/>
        </w:rPr>
      </w:pPr>
      <w:r>
        <w:rPr>
          <w:lang w:val="en-GB"/>
        </w:rPr>
        <w:t>Eurydice, March 2013</w:t>
      </w:r>
    </w:p>
    <w:p w:rsidR="008844B9" w:rsidRDefault="004A678D" w:rsidP="00C25621">
      <w:pPr>
        <w:jc w:val="both"/>
        <w:rPr>
          <w:lang w:val="en-GB"/>
        </w:rPr>
      </w:pPr>
      <w:r>
        <w:rPr>
          <w:lang w:val="en-GB"/>
        </w:rPr>
        <w:t>This report is the first attempt by the European Commi</w:t>
      </w:r>
      <w:r w:rsidR="00387FF3">
        <w:rPr>
          <w:lang w:val="en-GB"/>
        </w:rPr>
        <w:t>ssion to map the state of play o</w:t>
      </w:r>
      <w:r>
        <w:rPr>
          <w:lang w:val="en-GB"/>
        </w:rPr>
        <w:t>f physical education at school across European countries.  It covers primary and lower secondary education and provides an insight in the following topics:</w:t>
      </w:r>
    </w:p>
    <w:p w:rsidR="004A678D" w:rsidRDefault="004A678D" w:rsidP="004A678D">
      <w:pPr>
        <w:pStyle w:val="Lijstalinea"/>
        <w:numPr>
          <w:ilvl w:val="0"/>
          <w:numId w:val="23"/>
        </w:numPr>
        <w:rPr>
          <w:lang w:val="en-GB"/>
        </w:rPr>
      </w:pPr>
      <w:r>
        <w:rPr>
          <w:lang w:val="en-GB"/>
        </w:rPr>
        <w:t>national strategies and large-scale initiatives</w:t>
      </w:r>
    </w:p>
    <w:p w:rsidR="004A678D" w:rsidRDefault="004A678D" w:rsidP="004A678D">
      <w:pPr>
        <w:pStyle w:val="Lijstalinea"/>
        <w:numPr>
          <w:ilvl w:val="0"/>
          <w:numId w:val="23"/>
        </w:numPr>
        <w:rPr>
          <w:lang w:val="en-GB"/>
        </w:rPr>
      </w:pPr>
      <w:r>
        <w:rPr>
          <w:lang w:val="en-GB"/>
        </w:rPr>
        <w:t>the status of physical education in national curricula</w:t>
      </w:r>
    </w:p>
    <w:p w:rsidR="004A678D" w:rsidRDefault="004A678D" w:rsidP="004A678D">
      <w:pPr>
        <w:pStyle w:val="Lijstalinea"/>
        <w:numPr>
          <w:ilvl w:val="0"/>
          <w:numId w:val="23"/>
        </w:numPr>
        <w:rPr>
          <w:lang w:val="en-GB"/>
        </w:rPr>
      </w:pPr>
      <w:r>
        <w:rPr>
          <w:lang w:val="en-GB"/>
        </w:rPr>
        <w:t>recommended annual taught time</w:t>
      </w:r>
    </w:p>
    <w:p w:rsidR="004A678D" w:rsidRDefault="004A678D" w:rsidP="004A678D">
      <w:pPr>
        <w:pStyle w:val="Lijstalinea"/>
        <w:numPr>
          <w:ilvl w:val="0"/>
          <w:numId w:val="23"/>
        </w:numPr>
        <w:rPr>
          <w:lang w:val="en-GB"/>
        </w:rPr>
      </w:pPr>
      <w:r>
        <w:rPr>
          <w:lang w:val="en-GB"/>
        </w:rPr>
        <w:t>pupil assessment</w:t>
      </w:r>
    </w:p>
    <w:p w:rsidR="004A678D" w:rsidRDefault="004A678D" w:rsidP="004A678D">
      <w:pPr>
        <w:pStyle w:val="Lijstalinea"/>
        <w:numPr>
          <w:ilvl w:val="0"/>
          <w:numId w:val="23"/>
        </w:numPr>
        <w:rPr>
          <w:lang w:val="en-GB"/>
        </w:rPr>
      </w:pPr>
      <w:r>
        <w:rPr>
          <w:lang w:val="en-GB"/>
        </w:rPr>
        <w:t>teacher education</w:t>
      </w:r>
    </w:p>
    <w:p w:rsidR="004A678D" w:rsidRDefault="004A678D" w:rsidP="004A678D">
      <w:pPr>
        <w:pStyle w:val="Lijstalinea"/>
        <w:numPr>
          <w:ilvl w:val="0"/>
          <w:numId w:val="23"/>
        </w:numPr>
        <w:rPr>
          <w:lang w:val="en-GB"/>
        </w:rPr>
      </w:pPr>
      <w:r>
        <w:rPr>
          <w:lang w:val="en-GB"/>
        </w:rPr>
        <w:t>extracurricular activities</w:t>
      </w:r>
    </w:p>
    <w:p w:rsidR="004A678D" w:rsidRDefault="004A678D" w:rsidP="004A678D">
      <w:pPr>
        <w:pStyle w:val="Lijstalinea"/>
        <w:numPr>
          <w:ilvl w:val="0"/>
          <w:numId w:val="23"/>
        </w:numPr>
        <w:rPr>
          <w:lang w:val="en-GB"/>
        </w:rPr>
      </w:pPr>
      <w:proofErr w:type="gramStart"/>
      <w:r>
        <w:rPr>
          <w:lang w:val="en-GB"/>
        </w:rPr>
        <w:t>planned</w:t>
      </w:r>
      <w:proofErr w:type="gramEnd"/>
      <w:r>
        <w:rPr>
          <w:lang w:val="en-GB"/>
        </w:rPr>
        <w:t xml:space="preserve"> reforms.</w:t>
      </w:r>
    </w:p>
    <w:p w:rsidR="004A678D" w:rsidRPr="004A678D" w:rsidRDefault="004A678D" w:rsidP="004A678D">
      <w:pPr>
        <w:rPr>
          <w:lang w:val="en-GB"/>
        </w:rPr>
      </w:pPr>
      <w:r>
        <w:rPr>
          <w:lang w:val="en-GB"/>
        </w:rPr>
        <w:t xml:space="preserve">The </w:t>
      </w:r>
      <w:hyperlink r:id="rId26" w:history="1">
        <w:r w:rsidRPr="004A678D">
          <w:rPr>
            <w:rStyle w:val="Hyperlink"/>
            <w:lang w:val="en-GB"/>
          </w:rPr>
          <w:t>study</w:t>
        </w:r>
      </w:hyperlink>
      <w:r>
        <w:rPr>
          <w:lang w:val="en-GB"/>
        </w:rPr>
        <w:t xml:space="preserve"> and the </w:t>
      </w:r>
      <w:hyperlink r:id="rId27" w:history="1">
        <w:r w:rsidRPr="004A678D">
          <w:rPr>
            <w:rStyle w:val="Hyperlink"/>
            <w:lang w:val="en-GB"/>
          </w:rPr>
          <w:t>highlights</w:t>
        </w:r>
      </w:hyperlink>
      <w:r>
        <w:rPr>
          <w:lang w:val="en-GB"/>
        </w:rPr>
        <w:t xml:space="preserve"> are available on the Eurydice website.  </w:t>
      </w:r>
    </w:p>
    <w:p w:rsidR="004A678D" w:rsidRDefault="004A678D" w:rsidP="004A678D">
      <w:pPr>
        <w:pStyle w:val="Kop2"/>
        <w:numPr>
          <w:ilvl w:val="1"/>
          <w:numId w:val="16"/>
        </w:numPr>
        <w:rPr>
          <w:rFonts w:eastAsia="Times New Roman"/>
          <w:lang w:val="en-GB"/>
        </w:rPr>
      </w:pPr>
      <w:r>
        <w:rPr>
          <w:rFonts w:eastAsia="Times New Roman"/>
          <w:lang w:val="en-GB"/>
        </w:rPr>
        <w:t>Funding of education in Europe 2000-2012: the impact of the economic crisis</w:t>
      </w:r>
    </w:p>
    <w:p w:rsidR="004A678D" w:rsidRDefault="004A678D" w:rsidP="004A678D">
      <w:pPr>
        <w:rPr>
          <w:lang w:val="en-GB"/>
        </w:rPr>
      </w:pPr>
      <w:r>
        <w:rPr>
          <w:lang w:val="en-GB"/>
        </w:rPr>
        <w:t>Eurydice, March 2013</w:t>
      </w:r>
    </w:p>
    <w:p w:rsidR="00010E0A" w:rsidRDefault="00010E0A" w:rsidP="00C25621">
      <w:pPr>
        <w:jc w:val="both"/>
        <w:rPr>
          <w:lang w:val="en-GB"/>
        </w:rPr>
      </w:pPr>
      <w:r>
        <w:rPr>
          <w:lang w:val="en-GB"/>
        </w:rPr>
        <w:t xml:space="preserve">The analysis in this report covers the developments in education funding from pre-primary to tertiary level and provides an overview of the main trends in the adult learning sector in 31 European countries.  It includes information on </w:t>
      </w:r>
    </w:p>
    <w:p w:rsidR="00010E0A" w:rsidRDefault="00010E0A" w:rsidP="00C25621">
      <w:pPr>
        <w:pStyle w:val="Lijstalinea"/>
        <w:numPr>
          <w:ilvl w:val="0"/>
          <w:numId w:val="23"/>
        </w:numPr>
        <w:jc w:val="both"/>
        <w:rPr>
          <w:lang w:val="en-GB"/>
        </w:rPr>
      </w:pPr>
      <w:r>
        <w:rPr>
          <w:lang w:val="en-GB"/>
        </w:rPr>
        <w:t>the economic context</w:t>
      </w:r>
    </w:p>
    <w:p w:rsidR="00010E0A" w:rsidRDefault="00010E0A" w:rsidP="00C25621">
      <w:pPr>
        <w:pStyle w:val="Lijstalinea"/>
        <w:numPr>
          <w:ilvl w:val="0"/>
          <w:numId w:val="23"/>
        </w:numPr>
        <w:jc w:val="both"/>
        <w:rPr>
          <w:lang w:val="en-GB"/>
        </w:rPr>
      </w:pPr>
      <w:r>
        <w:rPr>
          <w:lang w:val="en-GB"/>
        </w:rPr>
        <w:t>the actual public expenditure and national budget developments in education</w:t>
      </w:r>
    </w:p>
    <w:p w:rsidR="00010E0A" w:rsidRDefault="00010E0A" w:rsidP="00C25621">
      <w:pPr>
        <w:pStyle w:val="Lijstalinea"/>
        <w:numPr>
          <w:ilvl w:val="0"/>
          <w:numId w:val="23"/>
        </w:numPr>
        <w:jc w:val="both"/>
        <w:rPr>
          <w:lang w:val="en-GB"/>
        </w:rPr>
      </w:pPr>
      <w:r>
        <w:rPr>
          <w:lang w:val="en-GB"/>
        </w:rPr>
        <w:t>trends in funding of human resources</w:t>
      </w:r>
    </w:p>
    <w:p w:rsidR="00010E0A" w:rsidRDefault="00010E0A" w:rsidP="00C25621">
      <w:pPr>
        <w:pStyle w:val="Lijstalinea"/>
        <w:numPr>
          <w:ilvl w:val="0"/>
          <w:numId w:val="23"/>
        </w:numPr>
        <w:jc w:val="both"/>
        <w:rPr>
          <w:lang w:val="en-GB"/>
        </w:rPr>
      </w:pPr>
      <w:r>
        <w:rPr>
          <w:lang w:val="en-GB"/>
        </w:rPr>
        <w:t>national budgets for educational infrastructure and support systems</w:t>
      </w:r>
    </w:p>
    <w:p w:rsidR="00010E0A" w:rsidRDefault="00010E0A" w:rsidP="00C25621">
      <w:pPr>
        <w:pStyle w:val="Lijstalinea"/>
        <w:numPr>
          <w:ilvl w:val="0"/>
          <w:numId w:val="23"/>
        </w:numPr>
        <w:jc w:val="both"/>
        <w:rPr>
          <w:lang w:val="en-GB"/>
        </w:rPr>
      </w:pPr>
      <w:proofErr w:type="gramStart"/>
      <w:r>
        <w:rPr>
          <w:lang w:val="en-GB"/>
        </w:rPr>
        <w:lastRenderedPageBreak/>
        <w:t>latest</w:t>
      </w:r>
      <w:proofErr w:type="gramEnd"/>
      <w:r>
        <w:rPr>
          <w:lang w:val="en-GB"/>
        </w:rPr>
        <w:t xml:space="preserve"> trends in funding and changes to national policies for the financial support of students.</w:t>
      </w:r>
    </w:p>
    <w:p w:rsidR="00010E0A" w:rsidRDefault="00010E0A" w:rsidP="00C25621">
      <w:pPr>
        <w:jc w:val="both"/>
        <w:rPr>
          <w:lang w:val="en-GB"/>
        </w:rPr>
      </w:pPr>
      <w:r>
        <w:rPr>
          <w:lang w:val="en-GB"/>
        </w:rPr>
        <w:t xml:space="preserve">The </w:t>
      </w:r>
      <w:hyperlink r:id="rId28" w:history="1">
        <w:r w:rsidRPr="00010E0A">
          <w:rPr>
            <w:rStyle w:val="Hyperlink"/>
            <w:lang w:val="en-GB"/>
          </w:rPr>
          <w:t>study</w:t>
        </w:r>
      </w:hyperlink>
      <w:r>
        <w:rPr>
          <w:lang w:val="en-GB"/>
        </w:rPr>
        <w:t xml:space="preserve"> is available on the Eurydice website. </w:t>
      </w:r>
    </w:p>
    <w:p w:rsidR="00984B35" w:rsidRDefault="00984B35" w:rsidP="00984B35">
      <w:pPr>
        <w:pStyle w:val="Kop2"/>
        <w:numPr>
          <w:ilvl w:val="1"/>
          <w:numId w:val="16"/>
        </w:numPr>
        <w:rPr>
          <w:lang w:val="en-GB"/>
        </w:rPr>
      </w:pPr>
      <w:r>
        <w:rPr>
          <w:lang w:val="en-GB"/>
        </w:rPr>
        <w:t>Key data on teachers and school leaders</w:t>
      </w:r>
    </w:p>
    <w:p w:rsidR="00984B35" w:rsidRDefault="00984B35" w:rsidP="00984B35">
      <w:pPr>
        <w:rPr>
          <w:lang w:val="en-GB"/>
        </w:rPr>
      </w:pPr>
      <w:proofErr w:type="spellStart"/>
      <w:r>
        <w:rPr>
          <w:lang w:val="en-GB"/>
        </w:rPr>
        <w:t>Euridyce</w:t>
      </w:r>
      <w:proofErr w:type="spellEnd"/>
      <w:r>
        <w:rPr>
          <w:lang w:val="en-GB"/>
        </w:rPr>
        <w:t>, April 2013</w:t>
      </w:r>
    </w:p>
    <w:p w:rsidR="00984B35" w:rsidRDefault="00984B35" w:rsidP="005D1A49">
      <w:pPr>
        <w:jc w:val="both"/>
        <w:rPr>
          <w:lang w:val="en-GB"/>
        </w:rPr>
      </w:pPr>
      <w:r>
        <w:rPr>
          <w:lang w:val="en-GB"/>
        </w:rPr>
        <w:t>This report presents information for teachers in pre-primary, primary and general lower and upper secondary education.  It examines</w:t>
      </w:r>
      <w:r w:rsidR="005D1A49">
        <w:rPr>
          <w:lang w:val="en-GB"/>
        </w:rPr>
        <w:t xml:space="preserve"> different stages of a teacher’s career from initial education to entrance into the professional development up until </w:t>
      </w:r>
      <w:r w:rsidR="00387FF3">
        <w:rPr>
          <w:lang w:val="en-GB"/>
        </w:rPr>
        <w:t>retirement.  School leadership i</w:t>
      </w:r>
      <w:r w:rsidR="005D1A49">
        <w:rPr>
          <w:lang w:val="en-GB"/>
        </w:rPr>
        <w:t xml:space="preserve">s addressed in terms of conditions of access to the position of school head and the main required activities of the leadership role.  The report also addresses characteristics and conditions of school leaders and teachers, including age, gender, working hours, salaries, mobility, student teacher ratio etc.  </w:t>
      </w:r>
    </w:p>
    <w:p w:rsidR="005D1A49" w:rsidRDefault="00BE7C24" w:rsidP="005D1A49">
      <w:pPr>
        <w:jc w:val="both"/>
        <w:rPr>
          <w:lang w:val="en-GB"/>
        </w:rPr>
      </w:pPr>
      <w:hyperlink r:id="rId29" w:history="1">
        <w:r w:rsidR="005D1A49" w:rsidRPr="005D1A49">
          <w:rPr>
            <w:rStyle w:val="Hyperlink"/>
            <w:lang w:val="en-GB"/>
          </w:rPr>
          <w:t>Full report</w:t>
        </w:r>
      </w:hyperlink>
      <w:r w:rsidR="005D1A49">
        <w:rPr>
          <w:lang w:val="en-GB"/>
        </w:rPr>
        <w:t xml:space="preserve"> and </w:t>
      </w:r>
      <w:hyperlink r:id="rId30" w:history="1">
        <w:r w:rsidR="005D1A49" w:rsidRPr="005D1A49">
          <w:rPr>
            <w:rStyle w:val="Hyperlink"/>
            <w:lang w:val="en-GB"/>
          </w:rPr>
          <w:t>highlights</w:t>
        </w:r>
      </w:hyperlink>
      <w:r w:rsidR="005D1A49">
        <w:rPr>
          <w:lang w:val="en-GB"/>
        </w:rPr>
        <w:t xml:space="preserve"> are available on the Eurydice website.</w:t>
      </w:r>
    </w:p>
    <w:p w:rsidR="006848D2" w:rsidRDefault="006848D2" w:rsidP="006848D2">
      <w:pPr>
        <w:pStyle w:val="Kop2"/>
        <w:numPr>
          <w:ilvl w:val="1"/>
          <w:numId w:val="16"/>
        </w:numPr>
        <w:rPr>
          <w:lang w:val="en-GB"/>
        </w:rPr>
      </w:pPr>
      <w:r w:rsidRPr="006848D2">
        <w:rPr>
          <w:lang w:val="en-GB"/>
        </w:rPr>
        <w:t>Mapping European stakeholders on migrant education</w:t>
      </w:r>
    </w:p>
    <w:p w:rsidR="006848D2" w:rsidRPr="006848D2" w:rsidRDefault="006848D2" w:rsidP="006848D2">
      <w:pPr>
        <w:rPr>
          <w:lang w:val="en-GB"/>
        </w:rPr>
      </w:pPr>
      <w:r>
        <w:rPr>
          <w:lang w:val="en-GB"/>
        </w:rPr>
        <w:t>April 2013</w:t>
      </w:r>
    </w:p>
    <w:p w:rsidR="006848D2" w:rsidRPr="006848D2" w:rsidRDefault="006848D2" w:rsidP="006848D2">
      <w:pPr>
        <w:jc w:val="both"/>
        <w:rPr>
          <w:lang w:val="en"/>
        </w:rPr>
      </w:pPr>
      <w:r w:rsidRPr="006848D2">
        <w:rPr>
          <w:lang w:val="en"/>
        </w:rPr>
        <w:t xml:space="preserve">This SIRIUS network study was undertaken with the purpose of mapping the positions of European civil society stakeholders and some stakeholders in EU member states on the education of migrants in Europe. EUNEC has been interviewed by </w:t>
      </w:r>
      <w:proofErr w:type="spellStart"/>
      <w:r w:rsidRPr="006848D2">
        <w:rPr>
          <w:lang w:val="en"/>
        </w:rPr>
        <w:t>Ms</w:t>
      </w:r>
      <w:proofErr w:type="spellEnd"/>
      <w:r w:rsidRPr="006848D2">
        <w:rPr>
          <w:lang w:val="en"/>
        </w:rPr>
        <w:t xml:space="preserve"> Maria </w:t>
      </w:r>
      <w:proofErr w:type="spellStart"/>
      <w:r w:rsidRPr="006848D2">
        <w:rPr>
          <w:lang w:val="en"/>
        </w:rPr>
        <w:t>Golubeva</w:t>
      </w:r>
      <w:proofErr w:type="spellEnd"/>
      <w:r w:rsidRPr="006848D2">
        <w:rPr>
          <w:lang w:val="en"/>
        </w:rPr>
        <w:t>, author of the study.</w:t>
      </w:r>
    </w:p>
    <w:p w:rsidR="006848D2" w:rsidRDefault="006848D2" w:rsidP="006848D2">
      <w:pPr>
        <w:jc w:val="both"/>
        <w:rPr>
          <w:lang w:val="en"/>
        </w:rPr>
      </w:pPr>
      <w:r>
        <w:rPr>
          <w:lang w:val="en"/>
        </w:rPr>
        <w:t>The main research question is</w:t>
      </w:r>
      <w:r w:rsidRPr="006848D2">
        <w:rPr>
          <w:lang w:val="en"/>
        </w:rPr>
        <w:t>: What are the key areas of education policy where European education and migration stakeholders’ positions coincide with each other and with local stakeholders and what are the areas where they diverge?</w:t>
      </w:r>
    </w:p>
    <w:p w:rsidR="006848D2" w:rsidRDefault="006848D2" w:rsidP="006848D2">
      <w:pPr>
        <w:jc w:val="both"/>
        <w:rPr>
          <w:lang w:val="en"/>
        </w:rPr>
      </w:pPr>
      <w:r>
        <w:rPr>
          <w:lang w:val="en"/>
        </w:rPr>
        <w:t xml:space="preserve">Read the </w:t>
      </w:r>
      <w:hyperlink r:id="rId31" w:history="1">
        <w:r w:rsidRPr="006848D2">
          <w:rPr>
            <w:rStyle w:val="Hyperlink"/>
            <w:lang w:val="en"/>
          </w:rPr>
          <w:t>full study</w:t>
        </w:r>
      </w:hyperlink>
      <w:r>
        <w:rPr>
          <w:lang w:val="en"/>
        </w:rPr>
        <w:t xml:space="preserve"> at the EUNEC website. </w:t>
      </w:r>
    </w:p>
    <w:p w:rsidR="006848D2" w:rsidRDefault="006848D2" w:rsidP="006848D2">
      <w:pPr>
        <w:pStyle w:val="Kop2"/>
        <w:numPr>
          <w:ilvl w:val="1"/>
          <w:numId w:val="16"/>
        </w:numPr>
        <w:rPr>
          <w:lang w:val="en-GB"/>
        </w:rPr>
      </w:pPr>
      <w:r w:rsidRPr="006848D2">
        <w:rPr>
          <w:lang w:val="en-GB"/>
        </w:rPr>
        <w:t>Educational support to newly arrived migrant children</w:t>
      </w:r>
    </w:p>
    <w:p w:rsidR="006848D2" w:rsidRPr="006848D2" w:rsidRDefault="006848D2" w:rsidP="006848D2">
      <w:pPr>
        <w:rPr>
          <w:lang w:val="en-GB"/>
        </w:rPr>
      </w:pPr>
      <w:r>
        <w:rPr>
          <w:lang w:val="en-GB"/>
        </w:rPr>
        <w:t>April 2013</w:t>
      </w:r>
    </w:p>
    <w:p w:rsidR="006848D2" w:rsidRPr="006848D2" w:rsidRDefault="006848D2" w:rsidP="006848D2">
      <w:pPr>
        <w:jc w:val="both"/>
        <w:rPr>
          <w:lang w:val="en"/>
        </w:rPr>
      </w:pPr>
      <w:r w:rsidRPr="006848D2">
        <w:rPr>
          <w:lang w:val="en"/>
        </w:rPr>
        <w:t>The study on educational support to NAMS has identified three main messages that policy makers should take into consideration while designing integration policies for NAMS through education. Firstly, an integrated approach to inclusion is important. Targeted policy response to NAMS' needs will only work effectively in an inclusiv</w:t>
      </w:r>
      <w:r>
        <w:rPr>
          <w:lang w:val="en"/>
        </w:rPr>
        <w:t>e and comprehensive education s</w:t>
      </w:r>
      <w:r w:rsidRPr="006848D2">
        <w:rPr>
          <w:lang w:val="en"/>
        </w:rPr>
        <w:t>ystem. Secondly, identification of NAMS as a specific target group in education is not a prerequisite for having a good and comprehensive integration policy. Finally, a combination of discretion and national monitoring should be ensured for effective implementation of policies.</w:t>
      </w:r>
    </w:p>
    <w:p w:rsidR="006848D2" w:rsidRPr="006848D2" w:rsidRDefault="006848D2" w:rsidP="005D1A49">
      <w:pPr>
        <w:jc w:val="both"/>
        <w:rPr>
          <w:lang w:val="en"/>
        </w:rPr>
      </w:pPr>
      <w:r>
        <w:rPr>
          <w:lang w:val="en"/>
        </w:rPr>
        <w:t xml:space="preserve">Read the </w:t>
      </w:r>
      <w:hyperlink r:id="rId32" w:history="1">
        <w:r w:rsidRPr="006848D2">
          <w:rPr>
            <w:rStyle w:val="Hyperlink"/>
            <w:lang w:val="en"/>
          </w:rPr>
          <w:t>full study</w:t>
        </w:r>
      </w:hyperlink>
      <w:r>
        <w:rPr>
          <w:lang w:val="en"/>
        </w:rPr>
        <w:t xml:space="preserve"> at the EUNEC website.</w:t>
      </w:r>
    </w:p>
    <w:p w:rsidR="00010E0A" w:rsidRDefault="00010E0A" w:rsidP="00010E0A">
      <w:pPr>
        <w:pStyle w:val="Kop2"/>
        <w:numPr>
          <w:ilvl w:val="1"/>
          <w:numId w:val="16"/>
        </w:numPr>
        <w:rPr>
          <w:rFonts w:eastAsia="Times New Roman"/>
          <w:lang w:val="en-GB"/>
        </w:rPr>
      </w:pPr>
      <w:r w:rsidRPr="00010E0A">
        <w:rPr>
          <w:rFonts w:eastAsia="Times New Roman"/>
          <w:lang w:val="en-GB"/>
        </w:rPr>
        <w:t xml:space="preserve">International conference on Urban Multilingualism and Education </w:t>
      </w:r>
    </w:p>
    <w:p w:rsidR="00010E0A" w:rsidRDefault="00010E0A" w:rsidP="00010E0A">
      <w:pPr>
        <w:rPr>
          <w:lang w:val="en-GB"/>
        </w:rPr>
      </w:pPr>
      <w:r>
        <w:rPr>
          <w:lang w:val="en-GB"/>
        </w:rPr>
        <w:t>Ghent, 6-8 March 2013</w:t>
      </w:r>
    </w:p>
    <w:p w:rsidR="00010E0A" w:rsidRDefault="00010E0A" w:rsidP="00C25621">
      <w:pPr>
        <w:jc w:val="both"/>
        <w:rPr>
          <w:lang w:val="en-GB"/>
        </w:rPr>
      </w:pPr>
      <w:r>
        <w:rPr>
          <w:lang w:val="en-GB"/>
        </w:rPr>
        <w:t xml:space="preserve">This conference offers a forum to discuss, compare and exchange knowledge and experiences about the theme of </w:t>
      </w:r>
      <w:r w:rsidR="00F97429">
        <w:rPr>
          <w:lang w:val="en-GB"/>
        </w:rPr>
        <w:t>multilingualism.  The five central themes:</w:t>
      </w:r>
    </w:p>
    <w:p w:rsidR="00F97429" w:rsidRDefault="00F97429" w:rsidP="00C25621">
      <w:pPr>
        <w:pStyle w:val="Lijstalinea"/>
        <w:numPr>
          <w:ilvl w:val="0"/>
          <w:numId w:val="23"/>
        </w:numPr>
        <w:jc w:val="both"/>
        <w:rPr>
          <w:lang w:val="en-GB"/>
        </w:rPr>
      </w:pPr>
      <w:proofErr w:type="spellStart"/>
      <w:r>
        <w:rPr>
          <w:lang w:val="en-GB"/>
        </w:rPr>
        <w:t>Codeswitching</w:t>
      </w:r>
      <w:proofErr w:type="spellEnd"/>
      <w:r>
        <w:rPr>
          <w:lang w:val="en-GB"/>
        </w:rPr>
        <w:t xml:space="preserve">, </w:t>
      </w:r>
      <w:proofErr w:type="spellStart"/>
      <w:r>
        <w:rPr>
          <w:lang w:val="en-GB"/>
        </w:rPr>
        <w:t>translanguaging</w:t>
      </w:r>
      <w:proofErr w:type="spellEnd"/>
      <w:r>
        <w:rPr>
          <w:lang w:val="en-GB"/>
        </w:rPr>
        <w:t xml:space="preserve"> and multilingual resources in classrooms</w:t>
      </w:r>
    </w:p>
    <w:p w:rsidR="00F97429" w:rsidRDefault="00F97429" w:rsidP="00C25621">
      <w:pPr>
        <w:pStyle w:val="Lijstalinea"/>
        <w:numPr>
          <w:ilvl w:val="0"/>
          <w:numId w:val="23"/>
        </w:numPr>
        <w:jc w:val="both"/>
        <w:rPr>
          <w:lang w:val="en-GB"/>
        </w:rPr>
      </w:pPr>
      <w:r>
        <w:rPr>
          <w:lang w:val="en-GB"/>
        </w:rPr>
        <w:lastRenderedPageBreak/>
        <w:t>Language assessment in a multilingual environment</w:t>
      </w:r>
    </w:p>
    <w:p w:rsidR="00F97429" w:rsidRDefault="00F97429" w:rsidP="00C25621">
      <w:pPr>
        <w:pStyle w:val="Lijstalinea"/>
        <w:numPr>
          <w:ilvl w:val="0"/>
          <w:numId w:val="23"/>
        </w:numPr>
        <w:jc w:val="both"/>
        <w:rPr>
          <w:lang w:val="en-GB"/>
        </w:rPr>
      </w:pPr>
      <w:r>
        <w:rPr>
          <w:lang w:val="en-GB"/>
        </w:rPr>
        <w:t>Education and language learning in a globalized world</w:t>
      </w:r>
    </w:p>
    <w:p w:rsidR="00F97429" w:rsidRDefault="00F97429" w:rsidP="00C25621">
      <w:pPr>
        <w:pStyle w:val="Lijstalinea"/>
        <w:numPr>
          <w:ilvl w:val="0"/>
          <w:numId w:val="23"/>
        </w:numPr>
        <w:jc w:val="both"/>
        <w:rPr>
          <w:lang w:val="en-GB"/>
        </w:rPr>
      </w:pPr>
      <w:r>
        <w:rPr>
          <w:lang w:val="en-GB"/>
        </w:rPr>
        <w:t>Language acquisition in context</w:t>
      </w:r>
    </w:p>
    <w:p w:rsidR="00F97429" w:rsidRPr="00F97429" w:rsidRDefault="00F97429" w:rsidP="00C25621">
      <w:pPr>
        <w:pStyle w:val="Lijstalinea"/>
        <w:numPr>
          <w:ilvl w:val="0"/>
          <w:numId w:val="23"/>
        </w:numPr>
        <w:jc w:val="both"/>
        <w:rPr>
          <w:lang w:val="en-GB"/>
        </w:rPr>
      </w:pPr>
      <w:r>
        <w:rPr>
          <w:lang w:val="en-GB"/>
        </w:rPr>
        <w:t>Multilingual pedagogies and mediation strategies.</w:t>
      </w:r>
    </w:p>
    <w:p w:rsidR="00010E0A" w:rsidRDefault="00010E0A" w:rsidP="00C25621">
      <w:pPr>
        <w:jc w:val="both"/>
        <w:rPr>
          <w:lang w:val="en-GB"/>
        </w:rPr>
      </w:pPr>
      <w:r w:rsidRPr="00010E0A">
        <w:rPr>
          <w:lang w:val="en-GB"/>
        </w:rPr>
        <w:t xml:space="preserve">Conference book at </w:t>
      </w:r>
      <w:hyperlink r:id="rId33" w:history="1">
        <w:r w:rsidRPr="00010E0A">
          <w:rPr>
            <w:rStyle w:val="Hyperlink"/>
            <w:lang w:val="en-GB"/>
          </w:rPr>
          <w:t>http://www.smo-ume.org/file/2</w:t>
        </w:r>
      </w:hyperlink>
      <w:r w:rsidRPr="00010E0A">
        <w:rPr>
          <w:lang w:val="en-GB"/>
        </w:rPr>
        <w:t xml:space="preserve"> </w:t>
      </w:r>
    </w:p>
    <w:p w:rsidR="00F97429" w:rsidRDefault="00F97429" w:rsidP="00C25621">
      <w:pPr>
        <w:jc w:val="both"/>
        <w:rPr>
          <w:lang w:val="en-GB"/>
        </w:rPr>
      </w:pPr>
      <w:r>
        <w:rPr>
          <w:lang w:val="en-GB"/>
        </w:rPr>
        <w:t>For a report of the public lectu</w:t>
      </w:r>
      <w:r w:rsidR="00B202A9">
        <w:rPr>
          <w:lang w:val="en-GB"/>
        </w:rPr>
        <w:t xml:space="preserve">re by professor Jim Cummins on </w:t>
      </w:r>
      <w:r w:rsidRPr="00F97429">
        <w:rPr>
          <w:lang w:val="en-GB"/>
        </w:rPr>
        <w:t>“Urban multilingualism and educational achievement: Identifying and Implementing Evidence-based Strategies for School Development”</w:t>
      </w:r>
      <w:r w:rsidR="00B202A9">
        <w:rPr>
          <w:lang w:val="en-GB"/>
        </w:rPr>
        <w:t xml:space="preserve">, see the report of attended events.  </w:t>
      </w:r>
    </w:p>
    <w:p w:rsidR="0068459B" w:rsidRDefault="0068459B" w:rsidP="0068459B">
      <w:pPr>
        <w:pStyle w:val="Kop2"/>
        <w:numPr>
          <w:ilvl w:val="1"/>
          <w:numId w:val="16"/>
        </w:numPr>
        <w:rPr>
          <w:rFonts w:eastAsia="Times New Roman"/>
          <w:lang w:val="en-GB"/>
        </w:rPr>
      </w:pPr>
      <w:r w:rsidRPr="0068459B">
        <w:rPr>
          <w:rFonts w:eastAsia="Times New Roman"/>
          <w:lang w:val="en-GB"/>
        </w:rPr>
        <w:t>Education conferences under the Irish Presidency of the EU</w:t>
      </w:r>
    </w:p>
    <w:p w:rsidR="0068459B" w:rsidRDefault="0068459B" w:rsidP="0068459B">
      <w:pPr>
        <w:pStyle w:val="Kop4"/>
        <w:numPr>
          <w:ilvl w:val="2"/>
          <w:numId w:val="16"/>
        </w:numPr>
        <w:rPr>
          <w:lang w:val="en-GB"/>
        </w:rPr>
      </w:pPr>
      <w:r>
        <w:rPr>
          <w:lang w:val="en-GB"/>
        </w:rPr>
        <w:t>Integration, innovation and improvement – the professional identity of teacher educators</w:t>
      </w:r>
    </w:p>
    <w:p w:rsidR="0068459B" w:rsidRDefault="0068459B" w:rsidP="0068459B">
      <w:pPr>
        <w:rPr>
          <w:lang w:val="en-GB"/>
        </w:rPr>
      </w:pPr>
      <w:r>
        <w:rPr>
          <w:lang w:val="en-GB"/>
        </w:rPr>
        <w:t>Dublin, 18-19 February 2013</w:t>
      </w:r>
    </w:p>
    <w:p w:rsidR="0068459B" w:rsidRDefault="0068459B" w:rsidP="0068459B">
      <w:pPr>
        <w:rPr>
          <w:lang w:val="en-GB"/>
        </w:rPr>
      </w:pPr>
      <w:r>
        <w:rPr>
          <w:lang w:val="en-GB"/>
        </w:rPr>
        <w:t>The conference seeks to make the professional identity of teacher educators explicit and addressed the following questions:</w:t>
      </w:r>
    </w:p>
    <w:p w:rsidR="0068459B" w:rsidRDefault="0068459B" w:rsidP="0068459B">
      <w:pPr>
        <w:pStyle w:val="Lijstalinea"/>
        <w:numPr>
          <w:ilvl w:val="0"/>
          <w:numId w:val="23"/>
        </w:numPr>
        <w:rPr>
          <w:lang w:val="en-GB"/>
        </w:rPr>
      </w:pPr>
      <w:r>
        <w:rPr>
          <w:lang w:val="en-GB"/>
        </w:rPr>
        <w:t>Who is the teacher educator?</w:t>
      </w:r>
    </w:p>
    <w:p w:rsidR="0068459B" w:rsidRDefault="0068459B" w:rsidP="0068459B">
      <w:pPr>
        <w:pStyle w:val="Lijstalinea"/>
        <w:numPr>
          <w:ilvl w:val="0"/>
          <w:numId w:val="23"/>
        </w:numPr>
        <w:rPr>
          <w:lang w:val="en-GB"/>
        </w:rPr>
      </w:pPr>
      <w:r>
        <w:rPr>
          <w:lang w:val="en-GB"/>
        </w:rPr>
        <w:t>What do teacher educators do?</w:t>
      </w:r>
    </w:p>
    <w:p w:rsidR="0068459B" w:rsidRDefault="0068459B" w:rsidP="0068459B">
      <w:pPr>
        <w:pStyle w:val="Lijstalinea"/>
        <w:numPr>
          <w:ilvl w:val="0"/>
          <w:numId w:val="23"/>
        </w:numPr>
        <w:rPr>
          <w:lang w:val="en-GB"/>
        </w:rPr>
      </w:pPr>
      <w:r>
        <w:rPr>
          <w:lang w:val="en-GB"/>
        </w:rPr>
        <w:t>How can we develop the profession of teacher educators?</w:t>
      </w:r>
    </w:p>
    <w:p w:rsidR="0068459B" w:rsidRDefault="0068459B" w:rsidP="0068459B">
      <w:pPr>
        <w:pStyle w:val="Lijstalinea"/>
        <w:numPr>
          <w:ilvl w:val="0"/>
          <w:numId w:val="23"/>
        </w:numPr>
        <w:rPr>
          <w:lang w:val="en-GB"/>
        </w:rPr>
      </w:pPr>
      <w:r>
        <w:rPr>
          <w:lang w:val="en-GB"/>
        </w:rPr>
        <w:t xml:space="preserve">How can we support teacher educators? </w:t>
      </w:r>
    </w:p>
    <w:p w:rsidR="0068459B" w:rsidRPr="0068459B" w:rsidRDefault="0068459B" w:rsidP="0068459B">
      <w:pPr>
        <w:rPr>
          <w:lang w:val="en-GB"/>
        </w:rPr>
      </w:pPr>
      <w:r>
        <w:rPr>
          <w:lang w:val="en-GB"/>
        </w:rPr>
        <w:t xml:space="preserve">Read </w:t>
      </w:r>
      <w:hyperlink r:id="rId34" w:history="1">
        <w:r w:rsidRPr="00395AD5">
          <w:rPr>
            <w:rStyle w:val="Hyperlink"/>
            <w:lang w:val="en-GB"/>
          </w:rPr>
          <w:t>more.</w:t>
        </w:r>
      </w:hyperlink>
    </w:p>
    <w:p w:rsidR="0068459B" w:rsidRPr="0068459B" w:rsidRDefault="0068459B" w:rsidP="0068459B">
      <w:pPr>
        <w:pStyle w:val="Kop4"/>
        <w:numPr>
          <w:ilvl w:val="2"/>
          <w:numId w:val="16"/>
        </w:numPr>
        <w:rPr>
          <w:lang w:val="en-GB"/>
        </w:rPr>
      </w:pPr>
      <w:r w:rsidRPr="0068459B">
        <w:rPr>
          <w:lang w:val="en-GB"/>
        </w:rPr>
        <w:t>Conference on Better Assessment and Evaluation to Improve Teaching and Learning</w:t>
      </w:r>
    </w:p>
    <w:p w:rsidR="0068459B" w:rsidRPr="0068459B" w:rsidRDefault="0068459B" w:rsidP="00C25621">
      <w:pPr>
        <w:jc w:val="both"/>
        <w:rPr>
          <w:lang w:val="en"/>
        </w:rPr>
      </w:pPr>
      <w:r w:rsidRPr="0068459B">
        <w:rPr>
          <w:lang w:val="en"/>
        </w:rPr>
        <w:t>This conference focused on how assessment and evaluation frameworks and practices implemented by schools and educational systems can best promote the acquisition of key competences and improved learning for students.</w:t>
      </w:r>
    </w:p>
    <w:p w:rsidR="00395AD5" w:rsidRDefault="0068459B" w:rsidP="00C25621">
      <w:pPr>
        <w:jc w:val="both"/>
        <w:rPr>
          <w:lang w:val="en"/>
        </w:rPr>
      </w:pPr>
      <w:r w:rsidRPr="0068459B">
        <w:rPr>
          <w:lang w:val="en"/>
        </w:rPr>
        <w:t xml:space="preserve">Delegates considered the implications for policy and educational practice of recent research conducted by both the European Commission and the OECD, and the experience of countries that have successfully combined assessment and evaluation systems to promote better </w:t>
      </w:r>
      <w:r w:rsidR="00395AD5">
        <w:rPr>
          <w:lang w:val="en"/>
        </w:rPr>
        <w:t>teaching and improved learning.</w:t>
      </w:r>
    </w:p>
    <w:p w:rsidR="003C250C" w:rsidRDefault="0068459B" w:rsidP="0042542D">
      <w:pPr>
        <w:rPr>
          <w:lang w:val="en"/>
        </w:rPr>
      </w:pPr>
      <w:r>
        <w:rPr>
          <w:lang w:val="en"/>
        </w:rPr>
        <w:t xml:space="preserve">Read all the </w:t>
      </w:r>
      <w:hyperlink r:id="rId35" w:history="1">
        <w:r w:rsidRPr="0068459B">
          <w:rPr>
            <w:rStyle w:val="Hyperlink"/>
            <w:lang w:val="en"/>
          </w:rPr>
          <w:t>presentations</w:t>
        </w:r>
      </w:hyperlink>
      <w:r>
        <w:rPr>
          <w:lang w:val="en"/>
        </w:rPr>
        <w:t>.</w:t>
      </w:r>
    </w:p>
    <w:p w:rsidR="00387FF3" w:rsidRDefault="00387FF3" w:rsidP="0042542D">
      <w:pPr>
        <w:rPr>
          <w:lang w:val="en"/>
        </w:rPr>
      </w:pPr>
    </w:p>
    <w:p w:rsidR="008023A7" w:rsidRDefault="008023A7" w:rsidP="0042542D">
      <w:pPr>
        <w:rPr>
          <w:lang w:val="en"/>
        </w:rPr>
      </w:pPr>
    </w:p>
    <w:p w:rsidR="008023A7" w:rsidRDefault="008023A7" w:rsidP="0042542D">
      <w:pPr>
        <w:rPr>
          <w:lang w:val="en"/>
        </w:rPr>
      </w:pPr>
    </w:p>
    <w:p w:rsidR="008023A7" w:rsidRPr="00387FF3" w:rsidRDefault="008023A7" w:rsidP="0042542D">
      <w:pPr>
        <w:rPr>
          <w:lang w:val="en"/>
        </w:rPr>
      </w:pPr>
    </w:p>
    <w:sectPr w:rsidR="008023A7" w:rsidRPr="00387FF3" w:rsidSect="009162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90" w:rsidRDefault="00A94C90" w:rsidP="006848D2">
      <w:pPr>
        <w:spacing w:after="0" w:line="240" w:lineRule="auto"/>
      </w:pPr>
      <w:r>
        <w:separator/>
      </w:r>
    </w:p>
  </w:endnote>
  <w:endnote w:type="continuationSeparator" w:id="0">
    <w:p w:rsidR="00A94C90" w:rsidRDefault="00A94C90" w:rsidP="006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90" w:rsidRDefault="00A94C90" w:rsidP="006848D2">
      <w:pPr>
        <w:spacing w:after="0" w:line="240" w:lineRule="auto"/>
      </w:pPr>
      <w:r>
        <w:separator/>
      </w:r>
    </w:p>
  </w:footnote>
  <w:footnote w:type="continuationSeparator" w:id="0">
    <w:p w:rsidR="00A94C90" w:rsidRDefault="00A94C90" w:rsidP="00684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3B4"/>
    <w:multiLevelType w:val="hybridMultilevel"/>
    <w:tmpl w:val="AB98926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E5019"/>
    <w:multiLevelType w:val="hybridMultilevel"/>
    <w:tmpl w:val="13BA124C"/>
    <w:lvl w:ilvl="0" w:tplc="08130001">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F57"/>
    <w:multiLevelType w:val="hybridMultilevel"/>
    <w:tmpl w:val="2A64A4DC"/>
    <w:lvl w:ilvl="0" w:tplc="98E4DF2E">
      <w:start w:val="2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EA6EEA"/>
    <w:multiLevelType w:val="multilevel"/>
    <w:tmpl w:val="FBA450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D4B0018"/>
    <w:multiLevelType w:val="hybridMultilevel"/>
    <w:tmpl w:val="6D28232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177A9A"/>
    <w:multiLevelType w:val="hybridMultilevel"/>
    <w:tmpl w:val="8A401D18"/>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E142B"/>
    <w:multiLevelType w:val="hybridMultilevel"/>
    <w:tmpl w:val="E7BCCB12"/>
    <w:lvl w:ilvl="0" w:tplc="98E4DF2E">
      <w:start w:val="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844BF"/>
    <w:multiLevelType w:val="hybridMultilevel"/>
    <w:tmpl w:val="5186F7F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9D71C4"/>
    <w:multiLevelType w:val="multilevel"/>
    <w:tmpl w:val="FBA450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C7F3006"/>
    <w:multiLevelType w:val="hybridMultilevel"/>
    <w:tmpl w:val="0138039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B23035"/>
    <w:multiLevelType w:val="multilevel"/>
    <w:tmpl w:val="FBA450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8BD6025"/>
    <w:multiLevelType w:val="hybridMultilevel"/>
    <w:tmpl w:val="86583D3E"/>
    <w:lvl w:ilvl="0" w:tplc="2BBC3E5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3A116E59"/>
    <w:multiLevelType w:val="hybridMultilevel"/>
    <w:tmpl w:val="B8FC3592"/>
    <w:lvl w:ilvl="0" w:tplc="4E10446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714B6D"/>
    <w:multiLevelType w:val="hybridMultilevel"/>
    <w:tmpl w:val="9F24A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67B79"/>
    <w:multiLevelType w:val="hybridMultilevel"/>
    <w:tmpl w:val="2DC8C1B6"/>
    <w:lvl w:ilvl="0" w:tplc="98E4DF2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363A7C"/>
    <w:multiLevelType w:val="hybridMultilevel"/>
    <w:tmpl w:val="CF941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8C2884"/>
    <w:multiLevelType w:val="hybridMultilevel"/>
    <w:tmpl w:val="940873F8"/>
    <w:lvl w:ilvl="0" w:tplc="08130001">
      <w:start w:val="1"/>
      <w:numFmt w:val="bullet"/>
      <w:lvlText w:val=""/>
      <w:lvlJc w:val="left"/>
      <w:pPr>
        <w:ind w:left="1080" w:hanging="360"/>
      </w:pPr>
      <w:rPr>
        <w:rFonts w:ascii="Symbol" w:hAnsi="Symbol" w:hint="default"/>
      </w:rPr>
    </w:lvl>
    <w:lvl w:ilvl="1" w:tplc="7B0A8F64">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0510CCD"/>
    <w:multiLevelType w:val="multilevel"/>
    <w:tmpl w:val="FBA450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1821DCE"/>
    <w:multiLevelType w:val="hybridMultilevel"/>
    <w:tmpl w:val="0D4C8F0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F20006"/>
    <w:multiLevelType w:val="hybridMultilevel"/>
    <w:tmpl w:val="91CE2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5579D7"/>
    <w:multiLevelType w:val="multilevel"/>
    <w:tmpl w:val="B7BA091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E9A12D2"/>
    <w:multiLevelType w:val="hybridMultilevel"/>
    <w:tmpl w:val="65EC9FE8"/>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F696C59"/>
    <w:multiLevelType w:val="hybridMultilevel"/>
    <w:tmpl w:val="A446B8F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CA11B1"/>
    <w:multiLevelType w:val="hybridMultilevel"/>
    <w:tmpl w:val="BFE4113C"/>
    <w:lvl w:ilvl="0" w:tplc="08130001">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387A90"/>
    <w:multiLevelType w:val="hybridMultilevel"/>
    <w:tmpl w:val="70980AA6"/>
    <w:lvl w:ilvl="0" w:tplc="98E4DF2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5002F3"/>
    <w:multiLevelType w:val="multilevel"/>
    <w:tmpl w:val="FBA450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9DE1F5E"/>
    <w:multiLevelType w:val="hybridMultilevel"/>
    <w:tmpl w:val="29AE410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1"/>
  </w:num>
  <w:num w:numId="4">
    <w:abstractNumId w:val="5"/>
  </w:num>
  <w:num w:numId="5">
    <w:abstractNumId w:val="27"/>
  </w:num>
  <w:num w:numId="6">
    <w:abstractNumId w:val="9"/>
  </w:num>
  <w:num w:numId="7">
    <w:abstractNumId w:val="4"/>
  </w:num>
  <w:num w:numId="8">
    <w:abstractNumId w:val="1"/>
  </w:num>
  <w:num w:numId="9">
    <w:abstractNumId w:val="24"/>
  </w:num>
  <w:num w:numId="10">
    <w:abstractNumId w:val="19"/>
  </w:num>
  <w:num w:numId="11">
    <w:abstractNumId w:val="18"/>
  </w:num>
  <w:num w:numId="12">
    <w:abstractNumId w:val="0"/>
  </w:num>
  <w:num w:numId="13">
    <w:abstractNumId w:val="23"/>
  </w:num>
  <w:num w:numId="14">
    <w:abstractNumId w:val="7"/>
  </w:num>
  <w:num w:numId="15">
    <w:abstractNumId w:val="22"/>
  </w:num>
  <w:num w:numId="16">
    <w:abstractNumId w:val="3"/>
  </w:num>
  <w:num w:numId="17">
    <w:abstractNumId w:val="10"/>
  </w:num>
  <w:num w:numId="18">
    <w:abstractNumId w:val="26"/>
  </w:num>
  <w:num w:numId="19">
    <w:abstractNumId w:val="12"/>
  </w:num>
  <w:num w:numId="20">
    <w:abstractNumId w:val="16"/>
  </w:num>
  <w:num w:numId="21">
    <w:abstractNumId w:val="6"/>
  </w:num>
  <w:num w:numId="22">
    <w:abstractNumId w:val="2"/>
  </w:num>
  <w:num w:numId="23">
    <w:abstractNumId w:val="14"/>
  </w:num>
  <w:num w:numId="24">
    <w:abstractNumId w:val="15"/>
  </w:num>
  <w:num w:numId="25">
    <w:abstractNumId w:val="17"/>
  </w:num>
  <w:num w:numId="26">
    <w:abstractNumId w:val="8"/>
  </w:num>
  <w:num w:numId="27">
    <w:abstractNumId w:val="13"/>
  </w:num>
  <w:num w:numId="2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85"/>
    <w:rsid w:val="0000750F"/>
    <w:rsid w:val="00010E0A"/>
    <w:rsid w:val="00016826"/>
    <w:rsid w:val="0002567D"/>
    <w:rsid w:val="0002741D"/>
    <w:rsid w:val="00056D64"/>
    <w:rsid w:val="0007249C"/>
    <w:rsid w:val="00094557"/>
    <w:rsid w:val="000A3C82"/>
    <w:rsid w:val="000B4B05"/>
    <w:rsid w:val="000D0CFF"/>
    <w:rsid w:val="000D588D"/>
    <w:rsid w:val="000E3375"/>
    <w:rsid w:val="000F7FFC"/>
    <w:rsid w:val="001616E9"/>
    <w:rsid w:val="001619C9"/>
    <w:rsid w:val="00167A07"/>
    <w:rsid w:val="00171871"/>
    <w:rsid w:val="001A2E00"/>
    <w:rsid w:val="001E261D"/>
    <w:rsid w:val="001E5977"/>
    <w:rsid w:val="001F4517"/>
    <w:rsid w:val="002036AF"/>
    <w:rsid w:val="00241209"/>
    <w:rsid w:val="002423E9"/>
    <w:rsid w:val="00262D54"/>
    <w:rsid w:val="002651A7"/>
    <w:rsid w:val="0027564B"/>
    <w:rsid w:val="00286CB4"/>
    <w:rsid w:val="002A618F"/>
    <w:rsid w:val="002B0794"/>
    <w:rsid w:val="002D1A8D"/>
    <w:rsid w:val="002E20BF"/>
    <w:rsid w:val="002F1F2D"/>
    <w:rsid w:val="00300EAB"/>
    <w:rsid w:val="003042D2"/>
    <w:rsid w:val="00304D95"/>
    <w:rsid w:val="00307111"/>
    <w:rsid w:val="00312FFB"/>
    <w:rsid w:val="00315C27"/>
    <w:rsid w:val="0034085F"/>
    <w:rsid w:val="00346EA6"/>
    <w:rsid w:val="003477D9"/>
    <w:rsid w:val="003553C0"/>
    <w:rsid w:val="00357FBE"/>
    <w:rsid w:val="0036497B"/>
    <w:rsid w:val="00387FF3"/>
    <w:rsid w:val="00395AD5"/>
    <w:rsid w:val="00397AA6"/>
    <w:rsid w:val="003C250C"/>
    <w:rsid w:val="003C5D1D"/>
    <w:rsid w:val="003D059C"/>
    <w:rsid w:val="003E0DDF"/>
    <w:rsid w:val="003F42D4"/>
    <w:rsid w:val="004170C1"/>
    <w:rsid w:val="00423ACC"/>
    <w:rsid w:val="0042542D"/>
    <w:rsid w:val="00444402"/>
    <w:rsid w:val="00486D44"/>
    <w:rsid w:val="00490A22"/>
    <w:rsid w:val="004912B1"/>
    <w:rsid w:val="004A678D"/>
    <w:rsid w:val="004E3959"/>
    <w:rsid w:val="004F0385"/>
    <w:rsid w:val="004F11DC"/>
    <w:rsid w:val="004F5D1B"/>
    <w:rsid w:val="0050410B"/>
    <w:rsid w:val="00506A66"/>
    <w:rsid w:val="00512FB7"/>
    <w:rsid w:val="00521002"/>
    <w:rsid w:val="00524EAD"/>
    <w:rsid w:val="00531801"/>
    <w:rsid w:val="00534331"/>
    <w:rsid w:val="00540E64"/>
    <w:rsid w:val="005438CE"/>
    <w:rsid w:val="005A5C4F"/>
    <w:rsid w:val="005C799F"/>
    <w:rsid w:val="005D1A49"/>
    <w:rsid w:val="00636586"/>
    <w:rsid w:val="006731BF"/>
    <w:rsid w:val="006737DB"/>
    <w:rsid w:val="006830B1"/>
    <w:rsid w:val="0068459B"/>
    <w:rsid w:val="006848D2"/>
    <w:rsid w:val="00694F81"/>
    <w:rsid w:val="006B0C8A"/>
    <w:rsid w:val="006B440E"/>
    <w:rsid w:val="006B4F2C"/>
    <w:rsid w:val="006E3290"/>
    <w:rsid w:val="00703595"/>
    <w:rsid w:val="00715DC6"/>
    <w:rsid w:val="007975A0"/>
    <w:rsid w:val="007B3B0E"/>
    <w:rsid w:val="007B4E98"/>
    <w:rsid w:val="007D1BAF"/>
    <w:rsid w:val="007E4E8A"/>
    <w:rsid w:val="008023A7"/>
    <w:rsid w:val="00805AB3"/>
    <w:rsid w:val="00810560"/>
    <w:rsid w:val="00815A66"/>
    <w:rsid w:val="00862889"/>
    <w:rsid w:val="0087541C"/>
    <w:rsid w:val="008844B9"/>
    <w:rsid w:val="00893999"/>
    <w:rsid w:val="008B76F8"/>
    <w:rsid w:val="008C0AFA"/>
    <w:rsid w:val="008E06BD"/>
    <w:rsid w:val="008F073C"/>
    <w:rsid w:val="009016EC"/>
    <w:rsid w:val="009162BF"/>
    <w:rsid w:val="00921F96"/>
    <w:rsid w:val="00925685"/>
    <w:rsid w:val="00957359"/>
    <w:rsid w:val="0096540F"/>
    <w:rsid w:val="009829F7"/>
    <w:rsid w:val="00984B35"/>
    <w:rsid w:val="009A6496"/>
    <w:rsid w:val="009B046C"/>
    <w:rsid w:val="009B3461"/>
    <w:rsid w:val="009D1B2B"/>
    <w:rsid w:val="009E59A0"/>
    <w:rsid w:val="00A4730A"/>
    <w:rsid w:val="00A51132"/>
    <w:rsid w:val="00A612D6"/>
    <w:rsid w:val="00A63D3C"/>
    <w:rsid w:val="00A74634"/>
    <w:rsid w:val="00A94C90"/>
    <w:rsid w:val="00AB7A6A"/>
    <w:rsid w:val="00AD0DB3"/>
    <w:rsid w:val="00B00CA6"/>
    <w:rsid w:val="00B202A9"/>
    <w:rsid w:val="00B656CF"/>
    <w:rsid w:val="00B65A86"/>
    <w:rsid w:val="00BB7F4C"/>
    <w:rsid w:val="00BC53B0"/>
    <w:rsid w:val="00BE7C24"/>
    <w:rsid w:val="00BF102D"/>
    <w:rsid w:val="00C16CC4"/>
    <w:rsid w:val="00C25621"/>
    <w:rsid w:val="00C3150E"/>
    <w:rsid w:val="00C44A32"/>
    <w:rsid w:val="00C5589B"/>
    <w:rsid w:val="00C62759"/>
    <w:rsid w:val="00C67942"/>
    <w:rsid w:val="00C91C14"/>
    <w:rsid w:val="00CA353A"/>
    <w:rsid w:val="00CA67BB"/>
    <w:rsid w:val="00CB2FEA"/>
    <w:rsid w:val="00CB6E4E"/>
    <w:rsid w:val="00CC17CD"/>
    <w:rsid w:val="00CD23BF"/>
    <w:rsid w:val="00CF12DE"/>
    <w:rsid w:val="00CF41FF"/>
    <w:rsid w:val="00D05C93"/>
    <w:rsid w:val="00D440DB"/>
    <w:rsid w:val="00D54AF5"/>
    <w:rsid w:val="00D670B5"/>
    <w:rsid w:val="00D71E53"/>
    <w:rsid w:val="00D9546E"/>
    <w:rsid w:val="00DA435A"/>
    <w:rsid w:val="00DB59FC"/>
    <w:rsid w:val="00DD074F"/>
    <w:rsid w:val="00DD38F3"/>
    <w:rsid w:val="00DD4EBC"/>
    <w:rsid w:val="00DE5D77"/>
    <w:rsid w:val="00DF090C"/>
    <w:rsid w:val="00E02B76"/>
    <w:rsid w:val="00E042AF"/>
    <w:rsid w:val="00E112CA"/>
    <w:rsid w:val="00E40107"/>
    <w:rsid w:val="00E4752C"/>
    <w:rsid w:val="00E5047B"/>
    <w:rsid w:val="00E54671"/>
    <w:rsid w:val="00E6709D"/>
    <w:rsid w:val="00E729D6"/>
    <w:rsid w:val="00E92B2E"/>
    <w:rsid w:val="00E93522"/>
    <w:rsid w:val="00EA02C7"/>
    <w:rsid w:val="00EA2931"/>
    <w:rsid w:val="00EB3A10"/>
    <w:rsid w:val="00EB780B"/>
    <w:rsid w:val="00EE7BE4"/>
    <w:rsid w:val="00EF2ACC"/>
    <w:rsid w:val="00EF3A3C"/>
    <w:rsid w:val="00F0780A"/>
    <w:rsid w:val="00F173AA"/>
    <w:rsid w:val="00F331EA"/>
    <w:rsid w:val="00F42455"/>
    <w:rsid w:val="00F46EBB"/>
    <w:rsid w:val="00F50951"/>
    <w:rsid w:val="00F740D5"/>
    <w:rsid w:val="00F75876"/>
    <w:rsid w:val="00F75C9A"/>
    <w:rsid w:val="00F86E31"/>
    <w:rsid w:val="00F91B5F"/>
    <w:rsid w:val="00F92606"/>
    <w:rsid w:val="00F960FA"/>
    <w:rsid w:val="00F974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455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965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9352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845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qFormat/>
    <w:rsid w:val="00F960FA"/>
    <w:pPr>
      <w:keepNext/>
      <w:keepLines/>
      <w:spacing w:before="240" w:after="240" w:line="280" w:lineRule="exact"/>
      <w:jc w:val="center"/>
    </w:pPr>
    <w:rPr>
      <w:rFonts w:ascii="Verdana" w:eastAsia="Times New Roman" w:hAnsi="Verdana" w:cs="Times New Roman"/>
      <w:b/>
      <w:color w:val="33CCCC"/>
      <w:kern w:val="28"/>
      <w:sz w:val="28"/>
      <w:szCs w:val="20"/>
      <w:lang w:val="en-GB" w:eastAsia="nl-NL"/>
    </w:rPr>
  </w:style>
  <w:style w:type="character" w:customStyle="1" w:styleId="TitelChar">
    <w:name w:val="Titel Char"/>
    <w:basedOn w:val="Standaardalinea-lettertype"/>
    <w:link w:val="Titel"/>
    <w:rsid w:val="00F960FA"/>
    <w:rPr>
      <w:rFonts w:ascii="Verdana" w:eastAsia="Times New Roman" w:hAnsi="Verdana" w:cs="Times New Roman"/>
      <w:b/>
      <w:color w:val="33CCCC"/>
      <w:kern w:val="28"/>
      <w:sz w:val="28"/>
      <w:szCs w:val="20"/>
      <w:lang w:val="en-GB" w:eastAsia="nl-NL"/>
    </w:rPr>
  </w:style>
  <w:style w:type="paragraph" w:styleId="Lijstalinea">
    <w:name w:val="List Paragraph"/>
    <w:basedOn w:val="Standaard"/>
    <w:uiPriority w:val="34"/>
    <w:qFormat/>
    <w:rsid w:val="004F0385"/>
    <w:pPr>
      <w:ind w:left="720"/>
      <w:contextualSpacing/>
    </w:pPr>
  </w:style>
  <w:style w:type="character" w:styleId="Hyperlink">
    <w:name w:val="Hyperlink"/>
    <w:basedOn w:val="Standaardalinea-lettertype"/>
    <w:uiPriority w:val="99"/>
    <w:unhideWhenUsed/>
    <w:rsid w:val="001E5977"/>
    <w:rPr>
      <w:color w:val="0000FF" w:themeColor="hyperlink"/>
      <w:u w:val="single"/>
    </w:rPr>
  </w:style>
  <w:style w:type="paragraph" w:styleId="Normaalweb">
    <w:name w:val="Normal (Web)"/>
    <w:basedOn w:val="Standaard"/>
    <w:uiPriority w:val="99"/>
    <w:semiHidden/>
    <w:unhideWhenUsed/>
    <w:rsid w:val="009829F7"/>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CA67BB"/>
    <w:rPr>
      <w:color w:val="800080" w:themeColor="followedHyperlink"/>
      <w:u w:val="single"/>
    </w:rPr>
  </w:style>
  <w:style w:type="paragraph" w:styleId="Ballontekst">
    <w:name w:val="Balloon Text"/>
    <w:basedOn w:val="Standaard"/>
    <w:link w:val="BallontekstChar"/>
    <w:uiPriority w:val="99"/>
    <w:semiHidden/>
    <w:unhideWhenUsed/>
    <w:rsid w:val="00CA6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7BB"/>
    <w:rPr>
      <w:rFonts w:ascii="Tahoma" w:hAnsi="Tahoma" w:cs="Tahoma"/>
      <w:sz w:val="16"/>
      <w:szCs w:val="16"/>
    </w:rPr>
  </w:style>
  <w:style w:type="character" w:customStyle="1" w:styleId="Kop1Char">
    <w:name w:val="Kop 1 Char"/>
    <w:basedOn w:val="Standaardalinea-lettertype"/>
    <w:link w:val="Kop1"/>
    <w:uiPriority w:val="9"/>
    <w:rsid w:val="00094557"/>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96540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96540F"/>
    <w:pPr>
      <w:spacing w:after="0" w:line="240" w:lineRule="auto"/>
    </w:pPr>
    <w:rPr>
      <w:rFonts w:eastAsiaTheme="minorHAnsi"/>
      <w:lang w:eastAsia="en-US"/>
    </w:rPr>
  </w:style>
  <w:style w:type="character" w:customStyle="1" w:styleId="Kop3Char">
    <w:name w:val="Kop 3 Char"/>
    <w:basedOn w:val="Standaardalinea-lettertype"/>
    <w:link w:val="Kop3"/>
    <w:uiPriority w:val="9"/>
    <w:rsid w:val="00E9352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8459B"/>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6848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8D2"/>
  </w:style>
  <w:style w:type="paragraph" w:styleId="Voettekst">
    <w:name w:val="footer"/>
    <w:basedOn w:val="Standaard"/>
    <w:link w:val="VoettekstChar"/>
    <w:uiPriority w:val="99"/>
    <w:unhideWhenUsed/>
    <w:rsid w:val="006848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455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965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9352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845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qFormat/>
    <w:rsid w:val="00F960FA"/>
    <w:pPr>
      <w:keepNext/>
      <w:keepLines/>
      <w:spacing w:before="240" w:after="240" w:line="280" w:lineRule="exact"/>
      <w:jc w:val="center"/>
    </w:pPr>
    <w:rPr>
      <w:rFonts w:ascii="Verdana" w:eastAsia="Times New Roman" w:hAnsi="Verdana" w:cs="Times New Roman"/>
      <w:b/>
      <w:color w:val="33CCCC"/>
      <w:kern w:val="28"/>
      <w:sz w:val="28"/>
      <w:szCs w:val="20"/>
      <w:lang w:val="en-GB" w:eastAsia="nl-NL"/>
    </w:rPr>
  </w:style>
  <w:style w:type="character" w:customStyle="1" w:styleId="TitelChar">
    <w:name w:val="Titel Char"/>
    <w:basedOn w:val="Standaardalinea-lettertype"/>
    <w:link w:val="Titel"/>
    <w:rsid w:val="00F960FA"/>
    <w:rPr>
      <w:rFonts w:ascii="Verdana" w:eastAsia="Times New Roman" w:hAnsi="Verdana" w:cs="Times New Roman"/>
      <w:b/>
      <w:color w:val="33CCCC"/>
      <w:kern w:val="28"/>
      <w:sz w:val="28"/>
      <w:szCs w:val="20"/>
      <w:lang w:val="en-GB" w:eastAsia="nl-NL"/>
    </w:rPr>
  </w:style>
  <w:style w:type="paragraph" w:styleId="Lijstalinea">
    <w:name w:val="List Paragraph"/>
    <w:basedOn w:val="Standaard"/>
    <w:uiPriority w:val="34"/>
    <w:qFormat/>
    <w:rsid w:val="004F0385"/>
    <w:pPr>
      <w:ind w:left="720"/>
      <w:contextualSpacing/>
    </w:pPr>
  </w:style>
  <w:style w:type="character" w:styleId="Hyperlink">
    <w:name w:val="Hyperlink"/>
    <w:basedOn w:val="Standaardalinea-lettertype"/>
    <w:uiPriority w:val="99"/>
    <w:unhideWhenUsed/>
    <w:rsid w:val="001E5977"/>
    <w:rPr>
      <w:color w:val="0000FF" w:themeColor="hyperlink"/>
      <w:u w:val="single"/>
    </w:rPr>
  </w:style>
  <w:style w:type="paragraph" w:styleId="Normaalweb">
    <w:name w:val="Normal (Web)"/>
    <w:basedOn w:val="Standaard"/>
    <w:uiPriority w:val="99"/>
    <w:semiHidden/>
    <w:unhideWhenUsed/>
    <w:rsid w:val="009829F7"/>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CA67BB"/>
    <w:rPr>
      <w:color w:val="800080" w:themeColor="followedHyperlink"/>
      <w:u w:val="single"/>
    </w:rPr>
  </w:style>
  <w:style w:type="paragraph" w:styleId="Ballontekst">
    <w:name w:val="Balloon Text"/>
    <w:basedOn w:val="Standaard"/>
    <w:link w:val="BallontekstChar"/>
    <w:uiPriority w:val="99"/>
    <w:semiHidden/>
    <w:unhideWhenUsed/>
    <w:rsid w:val="00CA6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7BB"/>
    <w:rPr>
      <w:rFonts w:ascii="Tahoma" w:hAnsi="Tahoma" w:cs="Tahoma"/>
      <w:sz w:val="16"/>
      <w:szCs w:val="16"/>
    </w:rPr>
  </w:style>
  <w:style w:type="character" w:customStyle="1" w:styleId="Kop1Char">
    <w:name w:val="Kop 1 Char"/>
    <w:basedOn w:val="Standaardalinea-lettertype"/>
    <w:link w:val="Kop1"/>
    <w:uiPriority w:val="9"/>
    <w:rsid w:val="00094557"/>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96540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96540F"/>
    <w:pPr>
      <w:spacing w:after="0" w:line="240" w:lineRule="auto"/>
    </w:pPr>
    <w:rPr>
      <w:rFonts w:eastAsiaTheme="minorHAnsi"/>
      <w:lang w:eastAsia="en-US"/>
    </w:rPr>
  </w:style>
  <w:style w:type="character" w:customStyle="1" w:styleId="Kop3Char">
    <w:name w:val="Kop 3 Char"/>
    <w:basedOn w:val="Standaardalinea-lettertype"/>
    <w:link w:val="Kop3"/>
    <w:uiPriority w:val="9"/>
    <w:rsid w:val="00E9352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8459B"/>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6848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8D2"/>
  </w:style>
  <w:style w:type="paragraph" w:styleId="Voettekst">
    <w:name w:val="footer"/>
    <w:basedOn w:val="Standaard"/>
    <w:link w:val="VoettekstChar"/>
    <w:uiPriority w:val="99"/>
    <w:unhideWhenUsed/>
    <w:rsid w:val="006848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392">
      <w:bodyDiv w:val="1"/>
      <w:marLeft w:val="0"/>
      <w:marRight w:val="0"/>
      <w:marTop w:val="0"/>
      <w:marBottom w:val="0"/>
      <w:divBdr>
        <w:top w:val="none" w:sz="0" w:space="0" w:color="auto"/>
        <w:left w:val="none" w:sz="0" w:space="0" w:color="auto"/>
        <w:bottom w:val="none" w:sz="0" w:space="0" w:color="auto"/>
        <w:right w:val="none" w:sz="0" w:space="0" w:color="auto"/>
      </w:divBdr>
    </w:div>
    <w:div w:id="212810283">
      <w:bodyDiv w:val="1"/>
      <w:marLeft w:val="0"/>
      <w:marRight w:val="0"/>
      <w:marTop w:val="0"/>
      <w:marBottom w:val="0"/>
      <w:divBdr>
        <w:top w:val="none" w:sz="0" w:space="0" w:color="auto"/>
        <w:left w:val="none" w:sz="0" w:space="0" w:color="auto"/>
        <w:bottom w:val="none" w:sz="0" w:space="0" w:color="auto"/>
        <w:right w:val="none" w:sz="0" w:space="0" w:color="auto"/>
      </w:divBdr>
      <w:divsChild>
        <w:div w:id="542791389">
          <w:marLeft w:val="0"/>
          <w:marRight w:val="0"/>
          <w:marTop w:val="0"/>
          <w:marBottom w:val="0"/>
          <w:divBdr>
            <w:top w:val="none" w:sz="0" w:space="0" w:color="auto"/>
            <w:left w:val="none" w:sz="0" w:space="0" w:color="auto"/>
            <w:bottom w:val="none" w:sz="0" w:space="0" w:color="auto"/>
            <w:right w:val="none" w:sz="0" w:space="0" w:color="auto"/>
          </w:divBdr>
          <w:divsChild>
            <w:div w:id="312950102">
              <w:marLeft w:val="0"/>
              <w:marRight w:val="0"/>
              <w:marTop w:val="0"/>
              <w:marBottom w:val="0"/>
              <w:divBdr>
                <w:top w:val="none" w:sz="0" w:space="0" w:color="auto"/>
                <w:left w:val="none" w:sz="0" w:space="0" w:color="auto"/>
                <w:bottom w:val="none" w:sz="0" w:space="0" w:color="auto"/>
                <w:right w:val="none" w:sz="0" w:space="0" w:color="auto"/>
              </w:divBdr>
              <w:divsChild>
                <w:div w:id="1937982839">
                  <w:marLeft w:val="0"/>
                  <w:marRight w:val="0"/>
                  <w:marTop w:val="0"/>
                  <w:marBottom w:val="0"/>
                  <w:divBdr>
                    <w:top w:val="single" w:sz="48" w:space="0" w:color="FC6621"/>
                    <w:left w:val="none" w:sz="0" w:space="0" w:color="auto"/>
                    <w:bottom w:val="none" w:sz="0" w:space="0" w:color="auto"/>
                    <w:right w:val="none" w:sz="0" w:space="0" w:color="auto"/>
                  </w:divBdr>
                  <w:divsChild>
                    <w:div w:id="1516456454">
                      <w:marLeft w:val="0"/>
                      <w:marRight w:val="0"/>
                      <w:marTop w:val="0"/>
                      <w:marBottom w:val="0"/>
                      <w:divBdr>
                        <w:top w:val="none" w:sz="0" w:space="0" w:color="auto"/>
                        <w:left w:val="none" w:sz="0" w:space="0" w:color="auto"/>
                        <w:bottom w:val="none" w:sz="0" w:space="0" w:color="auto"/>
                        <w:right w:val="none" w:sz="0" w:space="0" w:color="auto"/>
                      </w:divBdr>
                      <w:divsChild>
                        <w:div w:id="1458723118">
                          <w:marLeft w:val="0"/>
                          <w:marRight w:val="0"/>
                          <w:marTop w:val="0"/>
                          <w:marBottom w:val="0"/>
                          <w:divBdr>
                            <w:top w:val="none" w:sz="0" w:space="0" w:color="auto"/>
                            <w:left w:val="none" w:sz="0" w:space="0" w:color="auto"/>
                            <w:bottom w:val="none" w:sz="0" w:space="0" w:color="auto"/>
                            <w:right w:val="none" w:sz="0" w:space="0" w:color="auto"/>
                          </w:divBdr>
                          <w:divsChild>
                            <w:div w:id="1653605669">
                              <w:marLeft w:val="0"/>
                              <w:marRight w:val="0"/>
                              <w:marTop w:val="0"/>
                              <w:marBottom w:val="0"/>
                              <w:divBdr>
                                <w:top w:val="none" w:sz="0" w:space="0" w:color="auto"/>
                                <w:left w:val="none" w:sz="0" w:space="0" w:color="auto"/>
                                <w:bottom w:val="none" w:sz="0" w:space="0" w:color="auto"/>
                                <w:right w:val="none" w:sz="0" w:space="0" w:color="auto"/>
                              </w:divBdr>
                              <w:divsChild>
                                <w:div w:id="1951158814">
                                  <w:marLeft w:val="0"/>
                                  <w:marRight w:val="0"/>
                                  <w:marTop w:val="0"/>
                                  <w:marBottom w:val="0"/>
                                  <w:divBdr>
                                    <w:top w:val="none" w:sz="0" w:space="0" w:color="auto"/>
                                    <w:left w:val="none" w:sz="0" w:space="0" w:color="auto"/>
                                    <w:bottom w:val="none" w:sz="0" w:space="0" w:color="auto"/>
                                    <w:right w:val="none" w:sz="0" w:space="0" w:color="auto"/>
                                  </w:divBdr>
                                  <w:divsChild>
                                    <w:div w:id="1790852036">
                                      <w:marLeft w:val="0"/>
                                      <w:marRight w:val="0"/>
                                      <w:marTop w:val="0"/>
                                      <w:marBottom w:val="0"/>
                                      <w:divBdr>
                                        <w:top w:val="none" w:sz="0" w:space="0" w:color="auto"/>
                                        <w:left w:val="none" w:sz="0" w:space="0" w:color="auto"/>
                                        <w:bottom w:val="none" w:sz="0" w:space="0" w:color="auto"/>
                                        <w:right w:val="none" w:sz="0" w:space="0" w:color="auto"/>
                                      </w:divBdr>
                                      <w:divsChild>
                                        <w:div w:id="1394619874">
                                          <w:marLeft w:val="0"/>
                                          <w:marRight w:val="0"/>
                                          <w:marTop w:val="0"/>
                                          <w:marBottom w:val="0"/>
                                          <w:divBdr>
                                            <w:top w:val="none" w:sz="0" w:space="0" w:color="auto"/>
                                            <w:left w:val="none" w:sz="0" w:space="0" w:color="auto"/>
                                            <w:bottom w:val="none" w:sz="0" w:space="0" w:color="auto"/>
                                            <w:right w:val="none" w:sz="0" w:space="0" w:color="auto"/>
                                          </w:divBdr>
                                          <w:divsChild>
                                            <w:div w:id="422334672">
                                              <w:marLeft w:val="0"/>
                                              <w:marRight w:val="0"/>
                                              <w:marTop w:val="0"/>
                                              <w:marBottom w:val="0"/>
                                              <w:divBdr>
                                                <w:top w:val="none" w:sz="0" w:space="0" w:color="auto"/>
                                                <w:left w:val="none" w:sz="0" w:space="0" w:color="auto"/>
                                                <w:bottom w:val="none" w:sz="0" w:space="0" w:color="auto"/>
                                                <w:right w:val="none" w:sz="0" w:space="0" w:color="auto"/>
                                              </w:divBdr>
                                              <w:divsChild>
                                                <w:div w:id="16035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2626">
                                          <w:marLeft w:val="0"/>
                                          <w:marRight w:val="0"/>
                                          <w:marTop w:val="0"/>
                                          <w:marBottom w:val="0"/>
                                          <w:divBdr>
                                            <w:top w:val="none" w:sz="0" w:space="0" w:color="auto"/>
                                            <w:left w:val="none" w:sz="0" w:space="0" w:color="auto"/>
                                            <w:bottom w:val="none" w:sz="0" w:space="0" w:color="auto"/>
                                            <w:right w:val="none" w:sz="0" w:space="0" w:color="auto"/>
                                          </w:divBdr>
                                          <w:divsChild>
                                            <w:div w:id="1369067587">
                                              <w:marLeft w:val="0"/>
                                              <w:marRight w:val="0"/>
                                              <w:marTop w:val="0"/>
                                              <w:marBottom w:val="0"/>
                                              <w:divBdr>
                                                <w:top w:val="none" w:sz="0" w:space="0" w:color="auto"/>
                                                <w:left w:val="none" w:sz="0" w:space="0" w:color="auto"/>
                                                <w:bottom w:val="none" w:sz="0" w:space="0" w:color="auto"/>
                                                <w:right w:val="none" w:sz="0" w:space="0" w:color="auto"/>
                                              </w:divBdr>
                                              <w:divsChild>
                                                <w:div w:id="8905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585613">
      <w:bodyDiv w:val="1"/>
      <w:marLeft w:val="0"/>
      <w:marRight w:val="0"/>
      <w:marTop w:val="0"/>
      <w:marBottom w:val="0"/>
      <w:divBdr>
        <w:top w:val="none" w:sz="0" w:space="0" w:color="auto"/>
        <w:left w:val="none" w:sz="0" w:space="0" w:color="auto"/>
        <w:bottom w:val="none" w:sz="0" w:space="0" w:color="auto"/>
        <w:right w:val="none" w:sz="0" w:space="0" w:color="auto"/>
      </w:divBdr>
      <w:divsChild>
        <w:div w:id="708189223">
          <w:marLeft w:val="0"/>
          <w:marRight w:val="0"/>
          <w:marTop w:val="0"/>
          <w:marBottom w:val="0"/>
          <w:divBdr>
            <w:top w:val="none" w:sz="0" w:space="0" w:color="auto"/>
            <w:left w:val="none" w:sz="0" w:space="0" w:color="auto"/>
            <w:bottom w:val="none" w:sz="0" w:space="0" w:color="auto"/>
            <w:right w:val="none" w:sz="0" w:space="0" w:color="auto"/>
          </w:divBdr>
          <w:divsChild>
            <w:div w:id="419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1635">
      <w:bodyDiv w:val="1"/>
      <w:marLeft w:val="0"/>
      <w:marRight w:val="0"/>
      <w:marTop w:val="0"/>
      <w:marBottom w:val="0"/>
      <w:divBdr>
        <w:top w:val="none" w:sz="0" w:space="0" w:color="auto"/>
        <w:left w:val="none" w:sz="0" w:space="0" w:color="auto"/>
        <w:bottom w:val="none" w:sz="0" w:space="0" w:color="auto"/>
        <w:right w:val="none" w:sz="0" w:space="0" w:color="auto"/>
      </w:divBdr>
      <w:divsChild>
        <w:div w:id="61755088">
          <w:marLeft w:val="0"/>
          <w:marRight w:val="0"/>
          <w:marTop w:val="0"/>
          <w:marBottom w:val="300"/>
          <w:divBdr>
            <w:top w:val="none" w:sz="0" w:space="0" w:color="auto"/>
            <w:left w:val="none" w:sz="0" w:space="0" w:color="auto"/>
            <w:bottom w:val="none" w:sz="0" w:space="0" w:color="auto"/>
            <w:right w:val="none" w:sz="0" w:space="0" w:color="auto"/>
          </w:divBdr>
        </w:div>
      </w:divsChild>
    </w:div>
    <w:div w:id="588083805">
      <w:bodyDiv w:val="1"/>
      <w:marLeft w:val="0"/>
      <w:marRight w:val="0"/>
      <w:marTop w:val="0"/>
      <w:marBottom w:val="0"/>
      <w:divBdr>
        <w:top w:val="none" w:sz="0" w:space="0" w:color="auto"/>
        <w:left w:val="none" w:sz="0" w:space="0" w:color="auto"/>
        <w:bottom w:val="none" w:sz="0" w:space="0" w:color="auto"/>
        <w:right w:val="none" w:sz="0" w:space="0" w:color="auto"/>
      </w:divBdr>
    </w:div>
    <w:div w:id="914781008">
      <w:bodyDiv w:val="1"/>
      <w:marLeft w:val="0"/>
      <w:marRight w:val="0"/>
      <w:marTop w:val="0"/>
      <w:marBottom w:val="0"/>
      <w:divBdr>
        <w:top w:val="none" w:sz="0" w:space="0" w:color="auto"/>
        <w:left w:val="none" w:sz="0" w:space="0" w:color="auto"/>
        <w:bottom w:val="none" w:sz="0" w:space="0" w:color="auto"/>
        <w:right w:val="none" w:sz="0" w:space="0" w:color="auto"/>
      </w:divBdr>
      <w:divsChild>
        <w:div w:id="1096099971">
          <w:marLeft w:val="0"/>
          <w:marRight w:val="0"/>
          <w:marTop w:val="0"/>
          <w:marBottom w:val="0"/>
          <w:divBdr>
            <w:top w:val="none" w:sz="0" w:space="0" w:color="auto"/>
            <w:left w:val="none" w:sz="0" w:space="0" w:color="auto"/>
            <w:bottom w:val="none" w:sz="0" w:space="0" w:color="auto"/>
            <w:right w:val="none" w:sz="0" w:space="0" w:color="auto"/>
          </w:divBdr>
          <w:divsChild>
            <w:div w:id="279411198">
              <w:marLeft w:val="300"/>
              <w:marRight w:val="300"/>
              <w:marTop w:val="75"/>
              <w:marBottom w:val="300"/>
              <w:divBdr>
                <w:top w:val="none" w:sz="0" w:space="0" w:color="auto"/>
                <w:left w:val="none" w:sz="0" w:space="0" w:color="auto"/>
                <w:bottom w:val="none" w:sz="0" w:space="0" w:color="auto"/>
                <w:right w:val="none" w:sz="0" w:space="0" w:color="auto"/>
              </w:divBdr>
              <w:divsChild>
                <w:div w:id="1650939166">
                  <w:marLeft w:val="0"/>
                  <w:marRight w:val="0"/>
                  <w:marTop w:val="0"/>
                  <w:marBottom w:val="0"/>
                  <w:divBdr>
                    <w:top w:val="none" w:sz="0" w:space="0" w:color="auto"/>
                    <w:left w:val="none" w:sz="0" w:space="0" w:color="auto"/>
                    <w:bottom w:val="none" w:sz="0" w:space="0" w:color="auto"/>
                    <w:right w:val="none" w:sz="0" w:space="0" w:color="auto"/>
                  </w:divBdr>
                  <w:divsChild>
                    <w:div w:id="329991255">
                      <w:marLeft w:val="0"/>
                      <w:marRight w:val="150"/>
                      <w:marTop w:val="150"/>
                      <w:marBottom w:val="300"/>
                      <w:divBdr>
                        <w:top w:val="none" w:sz="0" w:space="0" w:color="auto"/>
                        <w:left w:val="none" w:sz="0" w:space="0" w:color="auto"/>
                        <w:bottom w:val="none" w:sz="0" w:space="0" w:color="auto"/>
                        <w:right w:val="none" w:sz="0" w:space="0" w:color="auto"/>
                      </w:divBdr>
                      <w:divsChild>
                        <w:div w:id="1891915469">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64179716">
      <w:bodyDiv w:val="1"/>
      <w:marLeft w:val="0"/>
      <w:marRight w:val="0"/>
      <w:marTop w:val="0"/>
      <w:marBottom w:val="0"/>
      <w:divBdr>
        <w:top w:val="none" w:sz="0" w:space="0" w:color="auto"/>
        <w:left w:val="none" w:sz="0" w:space="0" w:color="auto"/>
        <w:bottom w:val="none" w:sz="0" w:space="0" w:color="auto"/>
        <w:right w:val="none" w:sz="0" w:space="0" w:color="auto"/>
      </w:divBdr>
      <w:divsChild>
        <w:div w:id="783576013">
          <w:marLeft w:val="0"/>
          <w:marRight w:val="0"/>
          <w:marTop w:val="0"/>
          <w:marBottom w:val="0"/>
          <w:divBdr>
            <w:top w:val="none" w:sz="0" w:space="0" w:color="auto"/>
            <w:left w:val="none" w:sz="0" w:space="0" w:color="auto"/>
            <w:bottom w:val="none" w:sz="0" w:space="0" w:color="auto"/>
            <w:right w:val="none" w:sz="0" w:space="0" w:color="auto"/>
          </w:divBdr>
          <w:divsChild>
            <w:div w:id="3569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58350">
      <w:bodyDiv w:val="1"/>
      <w:marLeft w:val="0"/>
      <w:marRight w:val="0"/>
      <w:marTop w:val="0"/>
      <w:marBottom w:val="0"/>
      <w:divBdr>
        <w:top w:val="none" w:sz="0" w:space="0" w:color="auto"/>
        <w:left w:val="none" w:sz="0" w:space="0" w:color="auto"/>
        <w:bottom w:val="none" w:sz="0" w:space="0" w:color="auto"/>
        <w:right w:val="none" w:sz="0" w:space="0" w:color="auto"/>
      </w:divBdr>
      <w:divsChild>
        <w:div w:id="1966540208">
          <w:marLeft w:val="0"/>
          <w:marRight w:val="0"/>
          <w:marTop w:val="0"/>
          <w:marBottom w:val="0"/>
          <w:divBdr>
            <w:top w:val="none" w:sz="0" w:space="0" w:color="auto"/>
            <w:left w:val="none" w:sz="0" w:space="0" w:color="auto"/>
            <w:bottom w:val="none" w:sz="0" w:space="0" w:color="auto"/>
            <w:right w:val="none" w:sz="0" w:space="0" w:color="auto"/>
          </w:divBdr>
          <w:divsChild>
            <w:div w:id="1810316055">
              <w:marLeft w:val="0"/>
              <w:marRight w:val="0"/>
              <w:marTop w:val="0"/>
              <w:marBottom w:val="0"/>
              <w:divBdr>
                <w:top w:val="none" w:sz="0" w:space="0" w:color="auto"/>
                <w:left w:val="none" w:sz="0" w:space="0" w:color="auto"/>
                <w:bottom w:val="none" w:sz="0" w:space="0" w:color="auto"/>
                <w:right w:val="none" w:sz="0" w:space="0" w:color="auto"/>
              </w:divBdr>
              <w:divsChild>
                <w:div w:id="1447037495">
                  <w:marLeft w:val="0"/>
                  <w:marRight w:val="0"/>
                  <w:marTop w:val="0"/>
                  <w:marBottom w:val="0"/>
                  <w:divBdr>
                    <w:top w:val="none" w:sz="0" w:space="0" w:color="auto"/>
                    <w:left w:val="none" w:sz="0" w:space="0" w:color="auto"/>
                    <w:bottom w:val="none" w:sz="0" w:space="0" w:color="auto"/>
                    <w:right w:val="none" w:sz="0" w:space="0" w:color="auto"/>
                  </w:divBdr>
                  <w:divsChild>
                    <w:div w:id="1875921040">
                      <w:marLeft w:val="0"/>
                      <w:marRight w:val="0"/>
                      <w:marTop w:val="0"/>
                      <w:marBottom w:val="0"/>
                      <w:divBdr>
                        <w:top w:val="none" w:sz="0" w:space="0" w:color="auto"/>
                        <w:left w:val="none" w:sz="0" w:space="0" w:color="auto"/>
                        <w:bottom w:val="none" w:sz="0" w:space="0" w:color="auto"/>
                        <w:right w:val="none" w:sz="0" w:space="0" w:color="auto"/>
                      </w:divBdr>
                      <w:divsChild>
                        <w:div w:id="1115830135">
                          <w:marLeft w:val="0"/>
                          <w:marRight w:val="0"/>
                          <w:marTop w:val="0"/>
                          <w:marBottom w:val="0"/>
                          <w:divBdr>
                            <w:top w:val="none" w:sz="0" w:space="0" w:color="auto"/>
                            <w:left w:val="none" w:sz="0" w:space="0" w:color="auto"/>
                            <w:bottom w:val="none" w:sz="0" w:space="0" w:color="auto"/>
                            <w:right w:val="none" w:sz="0" w:space="0" w:color="auto"/>
                          </w:divBdr>
                          <w:divsChild>
                            <w:div w:id="10730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13600">
      <w:bodyDiv w:val="1"/>
      <w:marLeft w:val="0"/>
      <w:marRight w:val="0"/>
      <w:marTop w:val="0"/>
      <w:marBottom w:val="0"/>
      <w:divBdr>
        <w:top w:val="none" w:sz="0" w:space="0" w:color="auto"/>
        <w:left w:val="none" w:sz="0" w:space="0" w:color="auto"/>
        <w:bottom w:val="none" w:sz="0" w:space="0" w:color="auto"/>
        <w:right w:val="none" w:sz="0" w:space="0" w:color="auto"/>
      </w:divBdr>
    </w:div>
    <w:div w:id="1142767750">
      <w:bodyDiv w:val="1"/>
      <w:marLeft w:val="0"/>
      <w:marRight w:val="0"/>
      <w:marTop w:val="0"/>
      <w:marBottom w:val="0"/>
      <w:divBdr>
        <w:top w:val="none" w:sz="0" w:space="0" w:color="auto"/>
        <w:left w:val="none" w:sz="0" w:space="0" w:color="auto"/>
        <w:bottom w:val="none" w:sz="0" w:space="0" w:color="auto"/>
        <w:right w:val="none" w:sz="0" w:space="0" w:color="auto"/>
      </w:divBdr>
      <w:divsChild>
        <w:div w:id="1191063504">
          <w:marLeft w:val="0"/>
          <w:marRight w:val="0"/>
          <w:marTop w:val="0"/>
          <w:marBottom w:val="0"/>
          <w:divBdr>
            <w:top w:val="none" w:sz="0" w:space="0" w:color="auto"/>
            <w:left w:val="none" w:sz="0" w:space="0" w:color="auto"/>
            <w:bottom w:val="none" w:sz="0" w:space="0" w:color="auto"/>
            <w:right w:val="none" w:sz="0" w:space="0" w:color="auto"/>
          </w:divBdr>
          <w:divsChild>
            <w:div w:id="945113141">
              <w:marLeft w:val="300"/>
              <w:marRight w:val="300"/>
              <w:marTop w:val="75"/>
              <w:marBottom w:val="300"/>
              <w:divBdr>
                <w:top w:val="none" w:sz="0" w:space="0" w:color="auto"/>
                <w:left w:val="none" w:sz="0" w:space="0" w:color="auto"/>
                <w:bottom w:val="none" w:sz="0" w:space="0" w:color="auto"/>
                <w:right w:val="none" w:sz="0" w:space="0" w:color="auto"/>
              </w:divBdr>
              <w:divsChild>
                <w:div w:id="53748296">
                  <w:marLeft w:val="0"/>
                  <w:marRight w:val="0"/>
                  <w:marTop w:val="0"/>
                  <w:marBottom w:val="0"/>
                  <w:divBdr>
                    <w:top w:val="none" w:sz="0" w:space="0" w:color="auto"/>
                    <w:left w:val="none" w:sz="0" w:space="0" w:color="auto"/>
                    <w:bottom w:val="none" w:sz="0" w:space="0" w:color="auto"/>
                    <w:right w:val="none" w:sz="0" w:space="0" w:color="auto"/>
                  </w:divBdr>
                  <w:divsChild>
                    <w:div w:id="1662155211">
                      <w:marLeft w:val="0"/>
                      <w:marRight w:val="150"/>
                      <w:marTop w:val="150"/>
                      <w:marBottom w:val="300"/>
                      <w:divBdr>
                        <w:top w:val="none" w:sz="0" w:space="0" w:color="auto"/>
                        <w:left w:val="none" w:sz="0" w:space="0" w:color="auto"/>
                        <w:bottom w:val="none" w:sz="0" w:space="0" w:color="auto"/>
                        <w:right w:val="none" w:sz="0" w:space="0" w:color="auto"/>
                      </w:divBdr>
                      <w:divsChild>
                        <w:div w:id="1772899469">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86402256">
      <w:bodyDiv w:val="1"/>
      <w:marLeft w:val="0"/>
      <w:marRight w:val="0"/>
      <w:marTop w:val="0"/>
      <w:marBottom w:val="0"/>
      <w:divBdr>
        <w:top w:val="none" w:sz="0" w:space="0" w:color="auto"/>
        <w:left w:val="none" w:sz="0" w:space="0" w:color="auto"/>
        <w:bottom w:val="none" w:sz="0" w:space="0" w:color="auto"/>
        <w:right w:val="none" w:sz="0" w:space="0" w:color="auto"/>
      </w:divBdr>
      <w:divsChild>
        <w:div w:id="1462577550">
          <w:marLeft w:val="0"/>
          <w:marRight w:val="0"/>
          <w:marTop w:val="0"/>
          <w:marBottom w:val="0"/>
          <w:divBdr>
            <w:top w:val="none" w:sz="0" w:space="0" w:color="auto"/>
            <w:left w:val="none" w:sz="0" w:space="0" w:color="auto"/>
            <w:bottom w:val="none" w:sz="0" w:space="0" w:color="auto"/>
            <w:right w:val="none" w:sz="0" w:space="0" w:color="auto"/>
          </w:divBdr>
          <w:divsChild>
            <w:div w:id="1797602267">
              <w:marLeft w:val="0"/>
              <w:marRight w:val="0"/>
              <w:marTop w:val="0"/>
              <w:marBottom w:val="0"/>
              <w:divBdr>
                <w:top w:val="none" w:sz="0" w:space="0" w:color="auto"/>
                <w:left w:val="none" w:sz="0" w:space="0" w:color="auto"/>
                <w:bottom w:val="none" w:sz="0" w:space="0" w:color="auto"/>
                <w:right w:val="none" w:sz="0" w:space="0" w:color="auto"/>
              </w:divBdr>
              <w:divsChild>
                <w:div w:id="842672874">
                  <w:marLeft w:val="0"/>
                  <w:marRight w:val="0"/>
                  <w:marTop w:val="0"/>
                  <w:marBottom w:val="0"/>
                  <w:divBdr>
                    <w:top w:val="none" w:sz="0" w:space="0" w:color="auto"/>
                    <w:left w:val="none" w:sz="0" w:space="0" w:color="auto"/>
                    <w:bottom w:val="none" w:sz="0" w:space="0" w:color="auto"/>
                    <w:right w:val="none" w:sz="0" w:space="0" w:color="auto"/>
                  </w:divBdr>
                  <w:divsChild>
                    <w:div w:id="187916152">
                      <w:marLeft w:val="0"/>
                      <w:marRight w:val="0"/>
                      <w:marTop w:val="0"/>
                      <w:marBottom w:val="0"/>
                      <w:divBdr>
                        <w:top w:val="none" w:sz="0" w:space="0" w:color="auto"/>
                        <w:left w:val="none" w:sz="0" w:space="0" w:color="auto"/>
                        <w:bottom w:val="none" w:sz="0" w:space="0" w:color="auto"/>
                        <w:right w:val="none" w:sz="0" w:space="0" w:color="auto"/>
                      </w:divBdr>
                      <w:divsChild>
                        <w:div w:id="1355182552">
                          <w:marLeft w:val="0"/>
                          <w:marRight w:val="0"/>
                          <w:marTop w:val="0"/>
                          <w:marBottom w:val="0"/>
                          <w:divBdr>
                            <w:top w:val="none" w:sz="0" w:space="0" w:color="auto"/>
                            <w:left w:val="none" w:sz="0" w:space="0" w:color="auto"/>
                            <w:bottom w:val="none" w:sz="0" w:space="0" w:color="auto"/>
                            <w:right w:val="none" w:sz="0" w:space="0" w:color="auto"/>
                          </w:divBdr>
                          <w:divsChild>
                            <w:div w:id="762341172">
                              <w:marLeft w:val="0"/>
                              <w:marRight w:val="0"/>
                              <w:marTop w:val="0"/>
                              <w:marBottom w:val="0"/>
                              <w:divBdr>
                                <w:top w:val="none" w:sz="0" w:space="0" w:color="auto"/>
                                <w:left w:val="none" w:sz="0" w:space="0" w:color="auto"/>
                                <w:bottom w:val="none" w:sz="0" w:space="0" w:color="auto"/>
                                <w:right w:val="none" w:sz="0" w:space="0" w:color="auto"/>
                              </w:divBdr>
                              <w:divsChild>
                                <w:div w:id="790898375">
                                  <w:marLeft w:val="0"/>
                                  <w:marRight w:val="0"/>
                                  <w:marTop w:val="0"/>
                                  <w:marBottom w:val="0"/>
                                  <w:divBdr>
                                    <w:top w:val="none" w:sz="0" w:space="0" w:color="auto"/>
                                    <w:left w:val="none" w:sz="0" w:space="0" w:color="auto"/>
                                    <w:bottom w:val="none" w:sz="0" w:space="0" w:color="auto"/>
                                    <w:right w:val="none" w:sz="0" w:space="0" w:color="auto"/>
                                  </w:divBdr>
                                  <w:divsChild>
                                    <w:div w:id="559099588">
                                      <w:marLeft w:val="0"/>
                                      <w:marRight w:val="0"/>
                                      <w:marTop w:val="0"/>
                                      <w:marBottom w:val="0"/>
                                      <w:divBdr>
                                        <w:top w:val="none" w:sz="0" w:space="0" w:color="auto"/>
                                        <w:left w:val="none" w:sz="0" w:space="0" w:color="auto"/>
                                        <w:bottom w:val="none" w:sz="0" w:space="0" w:color="auto"/>
                                        <w:right w:val="none" w:sz="0" w:space="0" w:color="auto"/>
                                      </w:divBdr>
                                      <w:divsChild>
                                        <w:div w:id="1795712368">
                                          <w:marLeft w:val="0"/>
                                          <w:marRight w:val="0"/>
                                          <w:marTop w:val="0"/>
                                          <w:marBottom w:val="0"/>
                                          <w:divBdr>
                                            <w:top w:val="none" w:sz="0" w:space="0" w:color="auto"/>
                                            <w:left w:val="none" w:sz="0" w:space="0" w:color="auto"/>
                                            <w:bottom w:val="none" w:sz="0" w:space="0" w:color="auto"/>
                                            <w:right w:val="none" w:sz="0" w:space="0" w:color="auto"/>
                                          </w:divBdr>
                                          <w:divsChild>
                                            <w:div w:id="1205484097">
                                              <w:marLeft w:val="0"/>
                                              <w:marRight w:val="0"/>
                                              <w:marTop w:val="0"/>
                                              <w:marBottom w:val="0"/>
                                              <w:divBdr>
                                                <w:top w:val="none" w:sz="0" w:space="0" w:color="auto"/>
                                                <w:left w:val="none" w:sz="0" w:space="0" w:color="auto"/>
                                                <w:bottom w:val="none" w:sz="0" w:space="0" w:color="auto"/>
                                                <w:right w:val="none" w:sz="0" w:space="0" w:color="auto"/>
                                              </w:divBdr>
                                              <w:divsChild>
                                                <w:div w:id="1473064224">
                                                  <w:marLeft w:val="0"/>
                                                  <w:marRight w:val="0"/>
                                                  <w:marTop w:val="0"/>
                                                  <w:marBottom w:val="0"/>
                                                  <w:divBdr>
                                                    <w:top w:val="none" w:sz="0" w:space="0" w:color="auto"/>
                                                    <w:left w:val="none" w:sz="0" w:space="0" w:color="auto"/>
                                                    <w:bottom w:val="none" w:sz="0" w:space="0" w:color="auto"/>
                                                    <w:right w:val="none" w:sz="0" w:space="0" w:color="auto"/>
                                                  </w:divBdr>
                                                  <w:divsChild>
                                                    <w:div w:id="208228486">
                                                      <w:marLeft w:val="0"/>
                                                      <w:marRight w:val="0"/>
                                                      <w:marTop w:val="0"/>
                                                      <w:marBottom w:val="0"/>
                                                      <w:divBdr>
                                                        <w:top w:val="none" w:sz="0" w:space="0" w:color="auto"/>
                                                        <w:left w:val="none" w:sz="0" w:space="0" w:color="auto"/>
                                                        <w:bottom w:val="none" w:sz="0" w:space="0" w:color="auto"/>
                                                        <w:right w:val="none" w:sz="0" w:space="0" w:color="auto"/>
                                                      </w:divBdr>
                                                      <w:divsChild>
                                                        <w:div w:id="1407460545">
                                                          <w:marLeft w:val="0"/>
                                                          <w:marRight w:val="0"/>
                                                          <w:marTop w:val="0"/>
                                                          <w:marBottom w:val="0"/>
                                                          <w:divBdr>
                                                            <w:top w:val="none" w:sz="0" w:space="0" w:color="auto"/>
                                                            <w:left w:val="none" w:sz="0" w:space="0" w:color="auto"/>
                                                            <w:bottom w:val="none" w:sz="0" w:space="0" w:color="auto"/>
                                                            <w:right w:val="none" w:sz="0" w:space="0" w:color="auto"/>
                                                          </w:divBdr>
                                                          <w:divsChild>
                                                            <w:div w:id="440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159148">
      <w:bodyDiv w:val="1"/>
      <w:marLeft w:val="0"/>
      <w:marRight w:val="0"/>
      <w:marTop w:val="0"/>
      <w:marBottom w:val="0"/>
      <w:divBdr>
        <w:top w:val="none" w:sz="0" w:space="0" w:color="auto"/>
        <w:left w:val="none" w:sz="0" w:space="0" w:color="auto"/>
        <w:bottom w:val="none" w:sz="0" w:space="0" w:color="auto"/>
        <w:right w:val="none" w:sz="0" w:space="0" w:color="auto"/>
      </w:divBdr>
    </w:div>
    <w:div w:id="1459452850">
      <w:bodyDiv w:val="1"/>
      <w:marLeft w:val="0"/>
      <w:marRight w:val="0"/>
      <w:marTop w:val="0"/>
      <w:marBottom w:val="0"/>
      <w:divBdr>
        <w:top w:val="none" w:sz="0" w:space="0" w:color="auto"/>
        <w:left w:val="none" w:sz="0" w:space="0" w:color="auto"/>
        <w:bottom w:val="none" w:sz="0" w:space="0" w:color="auto"/>
        <w:right w:val="none" w:sz="0" w:space="0" w:color="auto"/>
      </w:divBdr>
      <w:divsChild>
        <w:div w:id="1565801362">
          <w:marLeft w:val="0"/>
          <w:marRight w:val="0"/>
          <w:marTop w:val="0"/>
          <w:marBottom w:val="0"/>
          <w:divBdr>
            <w:top w:val="none" w:sz="0" w:space="0" w:color="auto"/>
            <w:left w:val="none" w:sz="0" w:space="0" w:color="auto"/>
            <w:bottom w:val="none" w:sz="0" w:space="0" w:color="auto"/>
            <w:right w:val="none" w:sz="0" w:space="0" w:color="auto"/>
          </w:divBdr>
          <w:divsChild>
            <w:div w:id="1786390717">
              <w:marLeft w:val="300"/>
              <w:marRight w:val="300"/>
              <w:marTop w:val="75"/>
              <w:marBottom w:val="300"/>
              <w:divBdr>
                <w:top w:val="none" w:sz="0" w:space="0" w:color="auto"/>
                <w:left w:val="none" w:sz="0" w:space="0" w:color="auto"/>
                <w:bottom w:val="none" w:sz="0" w:space="0" w:color="auto"/>
                <w:right w:val="none" w:sz="0" w:space="0" w:color="auto"/>
              </w:divBdr>
              <w:divsChild>
                <w:div w:id="2130081166">
                  <w:marLeft w:val="0"/>
                  <w:marRight w:val="0"/>
                  <w:marTop w:val="0"/>
                  <w:marBottom w:val="0"/>
                  <w:divBdr>
                    <w:top w:val="none" w:sz="0" w:space="0" w:color="auto"/>
                    <w:left w:val="none" w:sz="0" w:space="0" w:color="auto"/>
                    <w:bottom w:val="none" w:sz="0" w:space="0" w:color="auto"/>
                    <w:right w:val="none" w:sz="0" w:space="0" w:color="auto"/>
                  </w:divBdr>
                  <w:divsChild>
                    <w:div w:id="685792012">
                      <w:marLeft w:val="0"/>
                      <w:marRight w:val="150"/>
                      <w:marTop w:val="150"/>
                      <w:marBottom w:val="300"/>
                      <w:divBdr>
                        <w:top w:val="none" w:sz="0" w:space="0" w:color="auto"/>
                        <w:left w:val="none" w:sz="0" w:space="0" w:color="auto"/>
                        <w:bottom w:val="none" w:sz="0" w:space="0" w:color="auto"/>
                        <w:right w:val="none" w:sz="0" w:space="0" w:color="auto"/>
                      </w:divBdr>
                      <w:divsChild>
                        <w:div w:id="1897012147">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54273408">
      <w:bodyDiv w:val="1"/>
      <w:marLeft w:val="0"/>
      <w:marRight w:val="0"/>
      <w:marTop w:val="0"/>
      <w:marBottom w:val="0"/>
      <w:divBdr>
        <w:top w:val="none" w:sz="0" w:space="0" w:color="auto"/>
        <w:left w:val="none" w:sz="0" w:space="0" w:color="auto"/>
        <w:bottom w:val="none" w:sz="0" w:space="0" w:color="auto"/>
        <w:right w:val="none" w:sz="0" w:space="0" w:color="auto"/>
      </w:divBdr>
    </w:div>
    <w:div w:id="1594825088">
      <w:bodyDiv w:val="1"/>
      <w:marLeft w:val="0"/>
      <w:marRight w:val="0"/>
      <w:marTop w:val="0"/>
      <w:marBottom w:val="0"/>
      <w:divBdr>
        <w:top w:val="none" w:sz="0" w:space="0" w:color="auto"/>
        <w:left w:val="none" w:sz="0" w:space="0" w:color="auto"/>
        <w:bottom w:val="none" w:sz="0" w:space="0" w:color="auto"/>
        <w:right w:val="none" w:sz="0" w:space="0" w:color="auto"/>
      </w:divBdr>
    </w:div>
    <w:div w:id="1694652155">
      <w:bodyDiv w:val="1"/>
      <w:marLeft w:val="0"/>
      <w:marRight w:val="0"/>
      <w:marTop w:val="0"/>
      <w:marBottom w:val="0"/>
      <w:divBdr>
        <w:top w:val="none" w:sz="0" w:space="0" w:color="auto"/>
        <w:left w:val="none" w:sz="0" w:space="0" w:color="auto"/>
        <w:bottom w:val="none" w:sz="0" w:space="0" w:color="auto"/>
        <w:right w:val="none" w:sz="0" w:space="0" w:color="auto"/>
      </w:divBdr>
      <w:divsChild>
        <w:div w:id="2128700559">
          <w:marLeft w:val="0"/>
          <w:marRight w:val="0"/>
          <w:marTop w:val="0"/>
          <w:marBottom w:val="0"/>
          <w:divBdr>
            <w:top w:val="none" w:sz="0" w:space="0" w:color="auto"/>
            <w:left w:val="none" w:sz="0" w:space="0" w:color="auto"/>
            <w:bottom w:val="none" w:sz="0" w:space="0" w:color="auto"/>
            <w:right w:val="none" w:sz="0" w:space="0" w:color="auto"/>
          </w:divBdr>
          <w:divsChild>
            <w:div w:id="1307933684">
              <w:marLeft w:val="0"/>
              <w:marRight w:val="0"/>
              <w:marTop w:val="0"/>
              <w:marBottom w:val="0"/>
              <w:divBdr>
                <w:top w:val="none" w:sz="0" w:space="0" w:color="auto"/>
                <w:left w:val="none" w:sz="0" w:space="0" w:color="auto"/>
                <w:bottom w:val="none" w:sz="0" w:space="0" w:color="auto"/>
                <w:right w:val="none" w:sz="0" w:space="0" w:color="auto"/>
              </w:divBdr>
              <w:divsChild>
                <w:div w:id="1471904098">
                  <w:marLeft w:val="0"/>
                  <w:marRight w:val="0"/>
                  <w:marTop w:val="0"/>
                  <w:marBottom w:val="0"/>
                  <w:divBdr>
                    <w:top w:val="none" w:sz="0" w:space="0" w:color="auto"/>
                    <w:left w:val="none" w:sz="0" w:space="0" w:color="auto"/>
                    <w:bottom w:val="none" w:sz="0" w:space="0" w:color="auto"/>
                    <w:right w:val="none" w:sz="0" w:space="0" w:color="auto"/>
                  </w:divBdr>
                  <w:divsChild>
                    <w:div w:id="328947347">
                      <w:marLeft w:val="0"/>
                      <w:marRight w:val="0"/>
                      <w:marTop w:val="0"/>
                      <w:marBottom w:val="0"/>
                      <w:divBdr>
                        <w:top w:val="none" w:sz="0" w:space="0" w:color="auto"/>
                        <w:left w:val="none" w:sz="0" w:space="0" w:color="auto"/>
                        <w:bottom w:val="none" w:sz="0" w:space="0" w:color="auto"/>
                        <w:right w:val="none" w:sz="0" w:space="0" w:color="auto"/>
                      </w:divBdr>
                      <w:divsChild>
                        <w:div w:id="236522741">
                          <w:marLeft w:val="0"/>
                          <w:marRight w:val="0"/>
                          <w:marTop w:val="0"/>
                          <w:marBottom w:val="0"/>
                          <w:divBdr>
                            <w:top w:val="none" w:sz="0" w:space="0" w:color="auto"/>
                            <w:left w:val="none" w:sz="0" w:space="0" w:color="auto"/>
                            <w:bottom w:val="none" w:sz="0" w:space="0" w:color="auto"/>
                            <w:right w:val="none" w:sz="0" w:space="0" w:color="auto"/>
                          </w:divBdr>
                          <w:divsChild>
                            <w:div w:id="8048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5698">
      <w:bodyDiv w:val="1"/>
      <w:marLeft w:val="0"/>
      <w:marRight w:val="0"/>
      <w:marTop w:val="0"/>
      <w:marBottom w:val="0"/>
      <w:divBdr>
        <w:top w:val="none" w:sz="0" w:space="0" w:color="auto"/>
        <w:left w:val="none" w:sz="0" w:space="0" w:color="auto"/>
        <w:bottom w:val="none" w:sz="0" w:space="0" w:color="auto"/>
        <w:right w:val="none" w:sz="0" w:space="0" w:color="auto"/>
      </w:divBdr>
      <w:divsChild>
        <w:div w:id="959381967">
          <w:marLeft w:val="0"/>
          <w:marRight w:val="0"/>
          <w:marTop w:val="0"/>
          <w:marBottom w:val="0"/>
          <w:divBdr>
            <w:top w:val="none" w:sz="0" w:space="0" w:color="auto"/>
            <w:left w:val="none" w:sz="0" w:space="0" w:color="auto"/>
            <w:bottom w:val="none" w:sz="0" w:space="0" w:color="auto"/>
            <w:right w:val="none" w:sz="0" w:space="0" w:color="auto"/>
          </w:divBdr>
          <w:divsChild>
            <w:div w:id="1480657595">
              <w:marLeft w:val="0"/>
              <w:marRight w:val="0"/>
              <w:marTop w:val="0"/>
              <w:marBottom w:val="0"/>
              <w:divBdr>
                <w:top w:val="none" w:sz="0" w:space="0" w:color="auto"/>
                <w:left w:val="none" w:sz="0" w:space="0" w:color="auto"/>
                <w:bottom w:val="none" w:sz="0" w:space="0" w:color="auto"/>
                <w:right w:val="none" w:sz="0" w:space="0" w:color="auto"/>
              </w:divBdr>
              <w:divsChild>
                <w:div w:id="2140952801">
                  <w:marLeft w:val="0"/>
                  <w:marRight w:val="0"/>
                  <w:marTop w:val="0"/>
                  <w:marBottom w:val="0"/>
                  <w:divBdr>
                    <w:top w:val="none" w:sz="0" w:space="0" w:color="auto"/>
                    <w:left w:val="none" w:sz="0" w:space="0" w:color="auto"/>
                    <w:bottom w:val="none" w:sz="0" w:space="0" w:color="auto"/>
                    <w:right w:val="none" w:sz="0" w:space="0" w:color="auto"/>
                  </w:divBdr>
                  <w:divsChild>
                    <w:div w:id="1377966522">
                      <w:marLeft w:val="0"/>
                      <w:marRight w:val="0"/>
                      <w:marTop w:val="0"/>
                      <w:marBottom w:val="0"/>
                      <w:divBdr>
                        <w:top w:val="none" w:sz="0" w:space="0" w:color="auto"/>
                        <w:left w:val="none" w:sz="0" w:space="0" w:color="auto"/>
                        <w:bottom w:val="none" w:sz="0" w:space="0" w:color="auto"/>
                        <w:right w:val="none" w:sz="0" w:space="0" w:color="auto"/>
                      </w:divBdr>
                      <w:divsChild>
                        <w:div w:id="874393365">
                          <w:marLeft w:val="0"/>
                          <w:marRight w:val="0"/>
                          <w:marTop w:val="0"/>
                          <w:marBottom w:val="0"/>
                          <w:divBdr>
                            <w:top w:val="none" w:sz="0" w:space="0" w:color="auto"/>
                            <w:left w:val="none" w:sz="0" w:space="0" w:color="auto"/>
                            <w:bottom w:val="none" w:sz="0" w:space="0" w:color="auto"/>
                            <w:right w:val="none" w:sz="0" w:space="0" w:color="auto"/>
                          </w:divBdr>
                          <w:divsChild>
                            <w:div w:id="8247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ilium.europa.eu/uedocs/cms_data/docs/pressdata/en/ec/135324.pdf" TargetMode="External"/><Relationship Id="rId18" Type="http://schemas.openxmlformats.org/officeDocument/2006/relationships/hyperlink" Target="http://register.consilium.europa.eu/pdf/en/13/st08/st08574.en13.pdf" TargetMode="External"/><Relationship Id="rId26" Type="http://schemas.openxmlformats.org/officeDocument/2006/relationships/hyperlink" Target="http://eacea.ec.europa.eu/education/eurydice/documents/thematic_reports/150EN.pdf" TargetMode="External"/><Relationship Id="rId3" Type="http://schemas.openxmlformats.org/officeDocument/2006/relationships/styles" Target="styles.xml"/><Relationship Id="rId21" Type="http://schemas.openxmlformats.org/officeDocument/2006/relationships/hyperlink" Target="http://ec.europa.eu/social/main.jsp?catId=89&amp;langId=en&amp;newsId=1731&amp;moreDocuments=yes&amp;tableName=news" TargetMode="External"/><Relationship Id="rId34" Type="http://schemas.openxmlformats.org/officeDocument/2006/relationships/hyperlink" Target="http://eu2013.ie/events/event-items/conference-theprofessionalidentityofteachereducators-20121201/" TargetMode="External"/><Relationship Id="rId7" Type="http://schemas.openxmlformats.org/officeDocument/2006/relationships/footnotes" Target="footnotes.xml"/><Relationship Id="rId12" Type="http://schemas.openxmlformats.org/officeDocument/2006/relationships/hyperlink" Target="http://eu2013.ie" TargetMode="External"/><Relationship Id="rId17" Type="http://schemas.openxmlformats.org/officeDocument/2006/relationships/hyperlink" Target="http://www.umultirank.org" TargetMode="External"/><Relationship Id="rId25" Type="http://schemas.openxmlformats.org/officeDocument/2006/relationships/hyperlink" Target="https://ec.europa.eu/digital-agenda/node/54355" TargetMode="External"/><Relationship Id="rId33" Type="http://schemas.openxmlformats.org/officeDocument/2006/relationships/hyperlink" Target="http://www.smo-ume.org/file/2" TargetMode="External"/><Relationship Id="rId2" Type="http://schemas.openxmlformats.org/officeDocument/2006/relationships/numbering" Target="numbering.xml"/><Relationship Id="rId16" Type="http://schemas.openxmlformats.org/officeDocument/2006/relationships/hyperlink" Target="http://www.umultirank.org/fileadmin/content_uploads/UMR_Dublin_Conference_Jan2013.pdf" TargetMode="External"/><Relationship Id="rId20" Type="http://schemas.openxmlformats.org/officeDocument/2006/relationships/hyperlink" Target="http://www.consilium.europa.eu/uedocs/cms_data/docs/pressdata/en/educ/137150.pdf" TargetMode="External"/><Relationship Id="rId29" Type="http://schemas.openxmlformats.org/officeDocument/2006/relationships/hyperlink" Target="http://eacea.ec.europa.eu/education/eurydice/documents/key_data_series/151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2013.ie/media/eupresidency/content/documents/EU-Pres_Prog_A4.pdf" TargetMode="External"/><Relationship Id="rId24" Type="http://schemas.openxmlformats.org/officeDocument/2006/relationships/hyperlink" Target="http://www.filling-the-gaps.eu/Home.html" TargetMode="External"/><Relationship Id="rId32" Type="http://schemas.openxmlformats.org/officeDocument/2006/relationships/hyperlink" Target="http://www.eunec.eu/european-heartbeat-news-eu/educational-support-newly-arrived-migrant-children-nam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ilium.europa.eu/uedocs/cms_data/docs/pressdata/en/educ/135467.pdf" TargetMode="External"/><Relationship Id="rId23" Type="http://schemas.openxmlformats.org/officeDocument/2006/relationships/hyperlink" Target="http://ec.europa.eu/information_society/newsroom/cf/document.cfm?doc_id=1575" TargetMode="External"/><Relationship Id="rId28" Type="http://schemas.openxmlformats.org/officeDocument/2006/relationships/hyperlink" Target="http://eacea.ec.europa.eu/education/eurydice/documents/thematic_reports/147EN.pdf" TargetMode="External"/><Relationship Id="rId36" Type="http://schemas.openxmlformats.org/officeDocument/2006/relationships/fontTable" Target="fontTable.xml"/><Relationship Id="rId10" Type="http://schemas.openxmlformats.org/officeDocument/2006/relationships/hyperlink" Target="http://ec.europa.eu/europe2020/making-it-happen/country-specific-recommendations/" TargetMode="External"/><Relationship Id="rId19" Type="http://schemas.openxmlformats.org/officeDocument/2006/relationships/hyperlink" Target="http://www.eu2013.ie/media/eupresidency/content/meetingagendasanddocs/brussels/EYCS-Council-16-and-17-May-BACKGROUND-NOTE.pdf" TargetMode="External"/><Relationship Id="rId31" Type="http://schemas.openxmlformats.org/officeDocument/2006/relationships/hyperlink" Target="http://www.eunec.eu/sites/www.eunec.eu/files/attachment/files/mapping20european20stakeholders20on20migrant20education.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ilium.europa.eu/uedocs/cms_data/docs/pressdata/en/educ/135490.pdf" TargetMode="External"/><Relationship Id="rId22" Type="http://schemas.openxmlformats.org/officeDocument/2006/relationships/hyperlink" Target="http://ec.europa.eu/youth/documents/youth_guarantee.pdf" TargetMode="External"/><Relationship Id="rId27" Type="http://schemas.openxmlformats.org/officeDocument/2006/relationships/hyperlink" Target="http://eacea.ec.europa.eu/education/eurydice/documents/thematic_reports/150EN_HI.pdf" TargetMode="External"/><Relationship Id="rId30" Type="http://schemas.openxmlformats.org/officeDocument/2006/relationships/hyperlink" Target="http://eacea.ec.europa.eu/education/eurydice/documents/key_data_series/151EN_HI.pdf" TargetMode="External"/><Relationship Id="rId35" Type="http://schemas.openxmlformats.org/officeDocument/2006/relationships/hyperlink" Target="http://eu2013.ie/events/event-items/betterlearningandteaching-2012120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3CD3-1C02-462B-AF8F-DA86BA8C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3686</Words>
  <Characters>21014</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cp:lastPrinted>2013-05-21T16:32:00Z</cp:lastPrinted>
  <dcterms:created xsi:type="dcterms:W3CDTF">2013-06-06T08:00:00Z</dcterms:created>
  <dcterms:modified xsi:type="dcterms:W3CDTF">2013-06-06T08:00:00Z</dcterms:modified>
</cp:coreProperties>
</file>