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7"/>
        <w:gridCol w:w="4223"/>
      </w:tblGrid>
      <w:tr w:rsidR="00756340" w:rsidRPr="001E64C3" w:rsidTr="00BF4B2C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  <w:r>
              <w:rPr>
                <w:rFonts w:ascii="Arial" w:hAnsi="Arial"/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151766</wp:posOffset>
                  </wp:positionH>
                  <wp:positionV relativeFrom="paragraph">
                    <wp:posOffset>-61595</wp:posOffset>
                  </wp:positionV>
                  <wp:extent cx="2533650" cy="1305268"/>
                  <wp:effectExtent l="19050" t="19050" r="19050" b="28232"/>
                  <wp:wrapNone/>
                  <wp:docPr id="1" name="Afbeelding 4" descr="J:\INTERNATIONAAL\New website\definitief logo 11 okto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J:\INTERNATIONAAL\New website\definitief logo 11 okto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0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3" w:type="dxa"/>
            <w:hideMark/>
          </w:tcPr>
          <w:p w:rsidR="00756340" w:rsidRPr="001E64C3" w:rsidRDefault="00981BE2" w:rsidP="00BF4B2C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</w:rPr>
              <w:t>May 2014</w:t>
            </w:r>
          </w:p>
        </w:tc>
      </w:tr>
      <w:tr w:rsidR="00756340" w:rsidRPr="001E64C3" w:rsidTr="00BF4B2C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</w:tc>
        <w:tc>
          <w:tcPr>
            <w:tcW w:w="4223" w:type="dxa"/>
            <w:hideMark/>
          </w:tcPr>
          <w:p w:rsidR="00756340" w:rsidRPr="001E64C3" w:rsidRDefault="00756340" w:rsidP="00981BE2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  <w:r w:rsidRPr="001E64C3">
              <w:rPr>
                <w:rFonts w:ascii="Verdana" w:hAnsi="Verdana"/>
              </w:rPr>
              <w:t>EUN/EC/DOC/</w:t>
            </w:r>
            <w:r w:rsidR="00EA1B72">
              <w:rPr>
                <w:rFonts w:ascii="Verdana" w:hAnsi="Verdana"/>
              </w:rPr>
              <w:t>0</w:t>
            </w:r>
            <w:r w:rsidR="00981BE2">
              <w:rPr>
                <w:rFonts w:ascii="Verdana" w:hAnsi="Verdana"/>
              </w:rPr>
              <w:t>02</w:t>
            </w:r>
          </w:p>
        </w:tc>
      </w:tr>
    </w:tbl>
    <w:p w:rsidR="00756340" w:rsidRDefault="00756340" w:rsidP="00946161">
      <w:pPr>
        <w:pStyle w:val="Titel"/>
      </w:pPr>
    </w:p>
    <w:p w:rsidR="00946161" w:rsidRPr="00946161" w:rsidRDefault="00946161" w:rsidP="00946161">
      <w:pPr>
        <w:rPr>
          <w:lang w:eastAsia="nl-NL"/>
        </w:rPr>
      </w:pPr>
    </w:p>
    <w:p w:rsidR="00946161" w:rsidRDefault="0054511E" w:rsidP="00B42CEF">
      <w:pPr>
        <w:pStyle w:val="Titel"/>
      </w:pPr>
      <w:r w:rsidRPr="00946161">
        <w:t>Main Policy Lines in Education and Training</w:t>
      </w:r>
    </w:p>
    <w:p w:rsidR="009705EE" w:rsidRPr="006A1F79" w:rsidRDefault="0054511E" w:rsidP="00B42CEF">
      <w:pPr>
        <w:pStyle w:val="Titel"/>
        <w:rPr>
          <w:lang w:val="nl-BE"/>
        </w:rPr>
      </w:pPr>
      <w:r w:rsidRPr="006A1F79">
        <w:rPr>
          <w:lang w:val="nl-BE"/>
        </w:rPr>
        <w:t>(December 2013</w:t>
      </w:r>
      <w:r w:rsidR="00981BE2" w:rsidRPr="006A1F79">
        <w:rPr>
          <w:lang w:val="nl-BE"/>
        </w:rPr>
        <w:t xml:space="preserve"> – May 2014</w:t>
      </w:r>
      <w:r w:rsidRPr="006A1F79">
        <w:rPr>
          <w:lang w:val="nl-BE"/>
        </w:rPr>
        <w:t>)</w:t>
      </w:r>
    </w:p>
    <w:p w:rsidR="00946161" w:rsidRPr="006A1F79" w:rsidRDefault="00946161" w:rsidP="00B42CEF">
      <w:pPr>
        <w:jc w:val="both"/>
        <w:rPr>
          <w:lang w:val="nl-BE" w:eastAsia="nl-NL"/>
        </w:rPr>
      </w:pPr>
    </w:p>
    <w:p w:rsidR="00250171" w:rsidRDefault="00250171" w:rsidP="00C50F63">
      <w:pPr>
        <w:pStyle w:val="Lijstalinea"/>
        <w:keepNext/>
        <w:keepLines/>
        <w:numPr>
          <w:ilvl w:val="0"/>
          <w:numId w:val="1"/>
        </w:numPr>
        <w:spacing w:before="240" w:after="240" w:line="280" w:lineRule="exact"/>
        <w:jc w:val="center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eastAsia="nl-N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eastAsia="nl-NL"/>
        </w:rPr>
        <w:t>UNESCO</w:t>
      </w:r>
    </w:p>
    <w:p w:rsidR="00742BB0" w:rsidRPr="00742BB0" w:rsidRDefault="00742BB0" w:rsidP="001B4D12">
      <w:pPr>
        <w:pStyle w:val="Kop1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 w:rsidRPr="00742BB0">
        <w:rPr>
          <w:rFonts w:eastAsia="Times New Roman"/>
          <w:lang w:eastAsia="nl-NL"/>
        </w:rPr>
        <w:t xml:space="preserve">Equipping adults for the 21st Century: Joining Forces for Action on Skills and Competences </w:t>
      </w:r>
    </w:p>
    <w:p w:rsidR="00742BB0" w:rsidRPr="006A1F79" w:rsidRDefault="00742BB0" w:rsidP="00742BB0">
      <w:pPr>
        <w:jc w:val="both"/>
        <w:rPr>
          <w:lang w:val="en-US" w:eastAsia="nl-NL"/>
        </w:rPr>
      </w:pPr>
      <w:r>
        <w:rPr>
          <w:lang w:eastAsia="nl-NL"/>
        </w:rPr>
        <w:t xml:space="preserve">Conference organized by the </w:t>
      </w:r>
      <w:r w:rsidRPr="006A1F79">
        <w:rPr>
          <w:lang w:val="en-US" w:eastAsia="nl-NL"/>
        </w:rPr>
        <w:t>the European Commission and the UNESCO Institute for Lifelong Learning in the framework of the Lithuanian Presidency of the EU, Vilnius, 9 December 2013</w:t>
      </w:r>
    </w:p>
    <w:p w:rsidR="00742BB0" w:rsidRPr="006A1F79" w:rsidRDefault="00742BB0" w:rsidP="00742BB0">
      <w:pPr>
        <w:jc w:val="both"/>
        <w:rPr>
          <w:lang w:val="en-US" w:eastAsia="nl-NL"/>
        </w:rPr>
      </w:pPr>
      <w:r w:rsidRPr="006A1F79">
        <w:rPr>
          <w:lang w:val="en-US" w:eastAsia="nl-NL"/>
        </w:rPr>
        <w:t>The conference took stock on recent PIAAC results and reflected on the implementation of the Renewed European Agenda for Adult Learning.</w:t>
      </w:r>
    </w:p>
    <w:p w:rsidR="00742BB0" w:rsidRPr="006A1F79" w:rsidRDefault="00DF7FD6" w:rsidP="00742BB0">
      <w:pPr>
        <w:jc w:val="both"/>
        <w:rPr>
          <w:lang w:val="en-US" w:eastAsia="nl-NL"/>
        </w:rPr>
      </w:pPr>
      <w:hyperlink r:id="rId10" w:history="1">
        <w:proofErr w:type="spellStart"/>
        <w:r w:rsidR="00742BB0" w:rsidRPr="006A1F79">
          <w:rPr>
            <w:rStyle w:val="Hyperlink"/>
            <w:lang w:val="en-US" w:eastAsia="nl-NL"/>
          </w:rPr>
          <w:t>Programme</w:t>
        </w:r>
        <w:proofErr w:type="spellEnd"/>
        <w:r w:rsidR="00742BB0" w:rsidRPr="006A1F79">
          <w:rPr>
            <w:rStyle w:val="Hyperlink"/>
            <w:lang w:val="en-US" w:eastAsia="nl-NL"/>
          </w:rPr>
          <w:t xml:space="preserve"> and presentations</w:t>
        </w:r>
      </w:hyperlink>
    </w:p>
    <w:p w:rsidR="00742BB0" w:rsidRDefault="00DF7FD6" w:rsidP="00742BB0">
      <w:pPr>
        <w:jc w:val="both"/>
        <w:rPr>
          <w:rStyle w:val="Hyperlink"/>
          <w:lang w:val="en-US" w:eastAsia="nl-NL"/>
        </w:rPr>
      </w:pPr>
      <w:hyperlink r:id="rId11" w:history="1">
        <w:r w:rsidR="00742BB0" w:rsidRPr="006A1F79">
          <w:rPr>
            <w:rStyle w:val="Hyperlink"/>
            <w:lang w:val="en-US" w:eastAsia="nl-NL"/>
          </w:rPr>
          <w:t>Background documents and country fiches</w:t>
        </w:r>
      </w:hyperlink>
    </w:p>
    <w:p w:rsidR="004736B5" w:rsidRDefault="004736B5" w:rsidP="00742BB0">
      <w:pPr>
        <w:jc w:val="both"/>
        <w:rPr>
          <w:rStyle w:val="Hyperlink"/>
          <w:lang w:val="en-US" w:eastAsia="nl-NL"/>
        </w:rPr>
      </w:pPr>
    </w:p>
    <w:p w:rsidR="004736B5" w:rsidRPr="00742BB0" w:rsidRDefault="004736B5" w:rsidP="00742BB0">
      <w:pPr>
        <w:jc w:val="both"/>
        <w:rPr>
          <w:lang w:eastAsia="nl-NL"/>
        </w:rPr>
      </w:pPr>
    </w:p>
    <w:p w:rsidR="00250171" w:rsidRDefault="00250171" w:rsidP="001B4D12">
      <w:pPr>
        <w:pStyle w:val="Kop1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Educational neurosciences. More problems than promise?</w:t>
      </w:r>
    </w:p>
    <w:p w:rsidR="00250171" w:rsidRDefault="00250171" w:rsidP="00B42CEF">
      <w:pPr>
        <w:jc w:val="both"/>
        <w:rPr>
          <w:lang w:eastAsia="nl-NL"/>
        </w:rPr>
      </w:pPr>
      <w:r>
        <w:rPr>
          <w:lang w:eastAsia="nl-NL"/>
        </w:rPr>
        <w:t>Education Policy Research Series, discussion document n° 3,  2013</w:t>
      </w:r>
    </w:p>
    <w:p w:rsidR="00250171" w:rsidRDefault="00250171" w:rsidP="00B42CEF">
      <w:pPr>
        <w:jc w:val="both"/>
        <w:rPr>
          <w:lang w:eastAsia="nl-NL"/>
        </w:rPr>
      </w:pPr>
      <w:r>
        <w:rPr>
          <w:lang w:eastAsia="nl-NL"/>
        </w:rPr>
        <w:t xml:space="preserve">The paper is one of the discussion documents that came out of the regional High-Level Expert Meeting ‘Beyond 2015: Rethinking Learning in a Changing World’, organized in Bangkok, 26-28 November 2012. </w:t>
      </w:r>
    </w:p>
    <w:p w:rsidR="00250171" w:rsidRDefault="00250171" w:rsidP="00B42CEF">
      <w:pPr>
        <w:jc w:val="both"/>
        <w:rPr>
          <w:lang w:eastAsia="nl-NL"/>
        </w:rPr>
      </w:pPr>
      <w:r>
        <w:rPr>
          <w:lang w:eastAsia="nl-NL"/>
        </w:rPr>
        <w:t xml:space="preserve">It reviews key results from recent studies on neuroscience, and revisits the debate on educational neuroscience and brain-based education. It argues that recent research shows that the conceptual foundations of cognitive sciences and educational neuroscience need to be reconsidered.  </w:t>
      </w:r>
    </w:p>
    <w:p w:rsidR="004736B5" w:rsidRDefault="00DF7FD6" w:rsidP="00B42CEF">
      <w:pPr>
        <w:jc w:val="both"/>
        <w:rPr>
          <w:lang w:eastAsia="nl-NL"/>
        </w:rPr>
      </w:pPr>
      <w:hyperlink r:id="rId12" w:history="1">
        <w:r w:rsidR="004736B5" w:rsidRPr="004736B5">
          <w:rPr>
            <w:rStyle w:val="Hyperlink"/>
            <w:lang w:eastAsia="nl-NL"/>
          </w:rPr>
          <w:t>The paper</w:t>
        </w:r>
      </w:hyperlink>
    </w:p>
    <w:p w:rsidR="0035537F" w:rsidRPr="00CC44DA" w:rsidRDefault="0035537F" w:rsidP="00CC44DA">
      <w:pPr>
        <w:pStyle w:val="Kop1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 w:rsidRPr="00CC44DA">
        <w:rPr>
          <w:rFonts w:eastAsia="Times New Roman"/>
          <w:lang w:eastAsia="nl-NL"/>
        </w:rPr>
        <w:lastRenderedPageBreak/>
        <w:t>Media Information and Literacy Policy and Strategy Guidelines</w:t>
      </w:r>
    </w:p>
    <w:p w:rsidR="0035537F" w:rsidRPr="0035537F" w:rsidRDefault="0035537F" w:rsidP="00B42CEF">
      <w:pPr>
        <w:jc w:val="both"/>
        <w:rPr>
          <w:lang w:eastAsia="nl-NL"/>
        </w:rPr>
      </w:pPr>
      <w:r>
        <w:rPr>
          <w:lang w:eastAsia="nl-NL"/>
        </w:rPr>
        <w:t xml:space="preserve">Media and Information Literacy </w:t>
      </w:r>
      <w:r w:rsidRPr="0035537F">
        <w:rPr>
          <w:lang w:eastAsia="nl-NL"/>
        </w:rPr>
        <w:t>(MIL) is a basis for enhancing access to information and knowledge, freedom of expression,</w:t>
      </w:r>
      <w:r>
        <w:rPr>
          <w:lang w:eastAsia="nl-NL"/>
        </w:rPr>
        <w:t xml:space="preserve"> </w:t>
      </w:r>
      <w:r w:rsidRPr="0035537F">
        <w:rPr>
          <w:lang w:eastAsia="nl-NL"/>
        </w:rPr>
        <w:t>and quality education. It describes skills, and attitudes that ar</w:t>
      </w:r>
      <w:r>
        <w:rPr>
          <w:lang w:eastAsia="nl-NL"/>
        </w:rPr>
        <w:t xml:space="preserve">e needed to value the functions </w:t>
      </w:r>
      <w:r w:rsidRPr="0035537F">
        <w:rPr>
          <w:lang w:eastAsia="nl-NL"/>
        </w:rPr>
        <w:t>of media and other information providers, including those on</w:t>
      </w:r>
      <w:r>
        <w:rPr>
          <w:lang w:eastAsia="nl-NL"/>
        </w:rPr>
        <w:t xml:space="preserve"> the Internet, in societies and </w:t>
      </w:r>
      <w:r w:rsidRPr="0035537F">
        <w:rPr>
          <w:lang w:eastAsia="nl-NL"/>
        </w:rPr>
        <w:t>to find, evaluate and produce</w:t>
      </w:r>
      <w:r>
        <w:rPr>
          <w:lang w:eastAsia="nl-NL"/>
        </w:rPr>
        <w:t xml:space="preserve"> information and media content.</w:t>
      </w:r>
    </w:p>
    <w:p w:rsidR="0035537F" w:rsidRPr="0035537F" w:rsidRDefault="0035537F" w:rsidP="00B42CEF">
      <w:pPr>
        <w:jc w:val="both"/>
        <w:rPr>
          <w:lang w:eastAsia="nl-NL"/>
        </w:rPr>
      </w:pPr>
      <w:r w:rsidRPr="0035537F">
        <w:rPr>
          <w:lang w:eastAsia="nl-NL"/>
        </w:rPr>
        <w:t xml:space="preserve">The challenge today is to develop policies that balance </w:t>
      </w:r>
      <w:r>
        <w:rPr>
          <w:lang w:eastAsia="nl-NL"/>
        </w:rPr>
        <w:t xml:space="preserve">two somewhat conflicting goals: </w:t>
      </w:r>
      <w:r w:rsidRPr="0035537F">
        <w:rPr>
          <w:lang w:eastAsia="nl-NL"/>
        </w:rPr>
        <w:t xml:space="preserve">maximizing the potential of media and new information </w:t>
      </w:r>
      <w:r>
        <w:rPr>
          <w:lang w:eastAsia="nl-NL"/>
        </w:rPr>
        <w:t xml:space="preserve">technologies and minimizing the </w:t>
      </w:r>
      <w:r w:rsidRPr="0035537F">
        <w:rPr>
          <w:lang w:eastAsia="nl-NL"/>
        </w:rPr>
        <w:t>risks they entail. This is a challenge facing many di</w:t>
      </w:r>
      <w:r w:rsidR="00B42CEF">
        <w:rPr>
          <w:lang w:eastAsia="nl-NL"/>
        </w:rPr>
        <w:t xml:space="preserve">fferent actors: policy </w:t>
      </w:r>
      <w:r>
        <w:rPr>
          <w:lang w:eastAsia="nl-NL"/>
        </w:rPr>
        <w:t xml:space="preserve">makers, media </w:t>
      </w:r>
      <w:r w:rsidRPr="0035537F">
        <w:rPr>
          <w:lang w:eastAsia="nl-NL"/>
        </w:rPr>
        <w:t>companies, internet content providers, the schools, the</w:t>
      </w:r>
      <w:r>
        <w:rPr>
          <w:lang w:eastAsia="nl-NL"/>
        </w:rPr>
        <w:t xml:space="preserve"> research community, a range of </w:t>
      </w:r>
      <w:r w:rsidRPr="0035537F">
        <w:rPr>
          <w:lang w:eastAsia="nl-NL"/>
        </w:rPr>
        <w:t>civil society organizations, as well as young people, their parents and other adults.</w:t>
      </w:r>
    </w:p>
    <w:p w:rsidR="0035537F" w:rsidRDefault="0035537F" w:rsidP="00B42CEF">
      <w:pPr>
        <w:jc w:val="both"/>
        <w:rPr>
          <w:lang w:eastAsia="nl-NL"/>
        </w:rPr>
      </w:pPr>
      <w:r w:rsidRPr="0035537F">
        <w:rPr>
          <w:lang w:eastAsia="nl-NL"/>
        </w:rPr>
        <w:t xml:space="preserve">This </w:t>
      </w:r>
      <w:r>
        <w:rPr>
          <w:lang w:eastAsia="nl-NL"/>
        </w:rPr>
        <w:t xml:space="preserve">publication treats </w:t>
      </w:r>
      <w:r w:rsidRPr="0035537F">
        <w:rPr>
          <w:lang w:eastAsia="nl-NL"/>
        </w:rPr>
        <w:t>MIL as a composite concept, unifying information</w:t>
      </w:r>
      <w:r>
        <w:rPr>
          <w:lang w:eastAsia="nl-NL"/>
        </w:rPr>
        <w:t xml:space="preserve"> literacy and media literacy as </w:t>
      </w:r>
      <w:r w:rsidRPr="0035537F">
        <w:rPr>
          <w:lang w:eastAsia="nl-NL"/>
        </w:rPr>
        <w:t>well as considering the right to freedom of expression and access to inf</w:t>
      </w:r>
      <w:r>
        <w:rPr>
          <w:lang w:eastAsia="nl-NL"/>
        </w:rPr>
        <w:t xml:space="preserve">ormation through </w:t>
      </w:r>
      <w:r w:rsidRPr="0035537F">
        <w:rPr>
          <w:lang w:eastAsia="nl-NL"/>
        </w:rPr>
        <w:t xml:space="preserve">ICTs. </w:t>
      </w:r>
    </w:p>
    <w:p w:rsidR="00250171" w:rsidRPr="0035537F" w:rsidRDefault="0035537F" w:rsidP="00B42CEF">
      <w:pPr>
        <w:jc w:val="both"/>
        <w:rPr>
          <w:lang w:eastAsia="nl-NL"/>
        </w:rPr>
      </w:pPr>
      <w:r w:rsidRPr="0035537F">
        <w:rPr>
          <w:lang w:eastAsia="nl-NL"/>
        </w:rPr>
        <w:t xml:space="preserve">Part 1 </w:t>
      </w:r>
      <w:r>
        <w:rPr>
          <w:lang w:eastAsia="nl-NL"/>
        </w:rPr>
        <w:t xml:space="preserve">of the publication is the MIL </w:t>
      </w:r>
      <w:r w:rsidRPr="0035537F">
        <w:rPr>
          <w:lang w:eastAsia="nl-NL"/>
        </w:rPr>
        <w:t>Policy Brief, and is designed for policy or decision maker</w:t>
      </w:r>
      <w:r>
        <w:rPr>
          <w:lang w:eastAsia="nl-NL"/>
        </w:rPr>
        <w:t xml:space="preserve">s and can serve as a summary of </w:t>
      </w:r>
      <w:r w:rsidRPr="0035537F">
        <w:rPr>
          <w:lang w:eastAsia="nl-NL"/>
        </w:rPr>
        <w:t xml:space="preserve">the publication. </w:t>
      </w:r>
    </w:p>
    <w:p w:rsidR="0035537F" w:rsidRPr="004736B5" w:rsidRDefault="00DF7FD6" w:rsidP="004736B5">
      <w:pPr>
        <w:jc w:val="both"/>
        <w:rPr>
          <w:color w:val="0000FF" w:themeColor="hyperlink"/>
          <w:u w:val="single"/>
        </w:rPr>
      </w:pPr>
      <w:hyperlink r:id="rId13" w:history="1">
        <w:r w:rsidR="0035537F" w:rsidRPr="0035537F">
          <w:rPr>
            <w:rStyle w:val="Hyperlink"/>
            <w:lang w:eastAsia="nl-NL"/>
          </w:rPr>
          <w:t>http://unesdoc.unesco.org/images/0022/002256/225606e.pdf</w:t>
        </w:r>
      </w:hyperlink>
    </w:p>
    <w:p w:rsidR="0035537F" w:rsidRDefault="0035537F" w:rsidP="00B42CEF">
      <w:pPr>
        <w:jc w:val="both"/>
        <w:rPr>
          <w:lang w:eastAsia="nl-NL"/>
        </w:rPr>
      </w:pPr>
      <w:r w:rsidRPr="0035537F">
        <w:rPr>
          <w:lang w:eastAsia="nl-NL"/>
        </w:rPr>
        <w:t>This resource is a part of a comprehensive MIL Toolki</w:t>
      </w:r>
      <w:r>
        <w:rPr>
          <w:lang w:eastAsia="nl-NL"/>
        </w:rPr>
        <w:t xml:space="preserve">t being developed by UNESCO and </w:t>
      </w:r>
      <w:r w:rsidRPr="0035537F">
        <w:rPr>
          <w:lang w:eastAsia="nl-NL"/>
        </w:rPr>
        <w:t xml:space="preserve">partners. The full MIL Toolkit </w:t>
      </w:r>
      <w:r>
        <w:rPr>
          <w:lang w:eastAsia="nl-NL"/>
        </w:rPr>
        <w:t xml:space="preserve">includes </w:t>
      </w:r>
      <w:r w:rsidRPr="0035537F">
        <w:rPr>
          <w:lang w:eastAsia="nl-NL"/>
        </w:rPr>
        <w:t xml:space="preserve"> </w:t>
      </w:r>
      <w:r>
        <w:rPr>
          <w:lang w:eastAsia="nl-NL"/>
        </w:rPr>
        <w:t xml:space="preserve">the MIL Curriculum for Teachers, </w:t>
      </w:r>
      <w:r w:rsidRPr="0035537F">
        <w:rPr>
          <w:lang w:eastAsia="nl-NL"/>
        </w:rPr>
        <w:t>the Gl</w:t>
      </w:r>
      <w:r>
        <w:rPr>
          <w:lang w:eastAsia="nl-NL"/>
        </w:rPr>
        <w:t xml:space="preserve">obal MIL Assessment Framework, </w:t>
      </w:r>
      <w:r w:rsidRPr="0035537F">
        <w:rPr>
          <w:lang w:eastAsia="nl-NL"/>
        </w:rPr>
        <w:t xml:space="preserve">Guidelines </w:t>
      </w:r>
      <w:r>
        <w:rPr>
          <w:lang w:eastAsia="nl-NL"/>
        </w:rPr>
        <w:t xml:space="preserve">for Broadcasters to Promote MIL and </w:t>
      </w:r>
      <w:r w:rsidRPr="0035537F">
        <w:rPr>
          <w:lang w:eastAsia="nl-NL"/>
        </w:rPr>
        <w:t xml:space="preserve"> model online</w:t>
      </w:r>
      <w:r>
        <w:rPr>
          <w:lang w:eastAsia="nl-NL"/>
        </w:rPr>
        <w:t xml:space="preserve"> MIL and intercultural dialogue courses.</w:t>
      </w:r>
    </w:p>
    <w:p w:rsidR="00B42CEF" w:rsidRPr="0035537F" w:rsidRDefault="00DF7FD6" w:rsidP="00B42CEF">
      <w:pPr>
        <w:jc w:val="both"/>
        <w:rPr>
          <w:rStyle w:val="Hyperlink"/>
          <w:lang w:eastAsia="nl-NL"/>
        </w:rPr>
      </w:pPr>
      <w:hyperlink r:id="rId14" w:history="1">
        <w:r w:rsidR="00B42CEF" w:rsidRPr="00D04515">
          <w:rPr>
            <w:rStyle w:val="Hyperlink"/>
            <w:lang w:eastAsia="nl-NL"/>
          </w:rPr>
          <w:t>http://www.unesco.org/new/en/communication-and-information/media-development/media-literacy/mil-as-composite-concept/</w:t>
        </w:r>
      </w:hyperlink>
      <w:r w:rsidR="00B42CEF">
        <w:rPr>
          <w:rStyle w:val="Hyperlink"/>
          <w:lang w:eastAsia="nl-NL"/>
        </w:rPr>
        <w:t xml:space="preserve"> </w:t>
      </w:r>
    </w:p>
    <w:p w:rsidR="009E4D2A" w:rsidRPr="00CC44DA" w:rsidRDefault="009E4D2A" w:rsidP="00CC44DA">
      <w:pPr>
        <w:pStyle w:val="Kop1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 w:rsidRPr="00CC44DA">
        <w:rPr>
          <w:rFonts w:eastAsia="Times New Roman"/>
          <w:lang w:eastAsia="nl-NL"/>
        </w:rPr>
        <w:t>Teaching and Learning: Achieving quality for all</w:t>
      </w:r>
    </w:p>
    <w:p w:rsidR="009E4D2A" w:rsidRPr="006A1F79" w:rsidRDefault="009E4D2A" w:rsidP="009E4D2A">
      <w:pPr>
        <w:spacing w:after="0" w:line="240" w:lineRule="auto"/>
        <w:jc w:val="both"/>
        <w:rPr>
          <w:lang w:val="en-US" w:eastAsia="nl-NL"/>
        </w:rPr>
      </w:pPr>
      <w:r w:rsidRPr="006A1F79">
        <w:rPr>
          <w:lang w:val="en-US" w:eastAsia="nl-NL"/>
        </w:rPr>
        <w:t>Education for All Global Monitoring Report 2013-2014</w:t>
      </w:r>
    </w:p>
    <w:p w:rsidR="009E4D2A" w:rsidRPr="006A1F79" w:rsidRDefault="009E4D2A" w:rsidP="009E4D2A">
      <w:pPr>
        <w:spacing w:after="0" w:line="240" w:lineRule="auto"/>
        <w:jc w:val="both"/>
        <w:rPr>
          <w:lang w:val="en-US" w:eastAsia="nl-NL"/>
        </w:rPr>
      </w:pPr>
    </w:p>
    <w:p w:rsidR="009E4D2A" w:rsidRPr="009E4D2A" w:rsidRDefault="009E4D2A" w:rsidP="009E4D2A">
      <w:pPr>
        <w:jc w:val="both"/>
        <w:rPr>
          <w:lang w:eastAsia="nl-NL"/>
        </w:rPr>
      </w:pPr>
      <w:r w:rsidRPr="009E4D2A">
        <w:rPr>
          <w:lang w:eastAsia="nl-NL"/>
        </w:rPr>
        <w:t>This EFA Global Monitoring Report provides an update on progress that countries are making towards the global education goals for 2015 that wer</w:t>
      </w:r>
      <w:r w:rsidR="005D54BE">
        <w:rPr>
          <w:lang w:eastAsia="nl-NL"/>
        </w:rPr>
        <w:t>e</w:t>
      </w:r>
      <w:r w:rsidRPr="009E4D2A">
        <w:rPr>
          <w:lang w:eastAsia="nl-NL"/>
        </w:rPr>
        <w:t xml:space="preserve"> agreed in 2000. With less than two years left before 2015, this report makes clear that no single goal will be achieved globally by 2015. </w:t>
      </w:r>
    </w:p>
    <w:p w:rsidR="009E4D2A" w:rsidRPr="009E4D2A" w:rsidRDefault="009E4D2A" w:rsidP="009E4D2A">
      <w:pPr>
        <w:jc w:val="both"/>
        <w:rPr>
          <w:lang w:eastAsia="nl-NL"/>
        </w:rPr>
      </w:pPr>
      <w:r w:rsidRPr="009E4D2A">
        <w:rPr>
          <w:lang w:eastAsia="nl-NL"/>
        </w:rPr>
        <w:t xml:space="preserve">UNESCO urges countries to accelerate progress in the final stage, and to put in place a robust post-2015 education framework to tackle unfinished business while addressing new challenges. </w:t>
      </w:r>
    </w:p>
    <w:p w:rsidR="009E4D2A" w:rsidRPr="009E4D2A" w:rsidRDefault="009E4D2A" w:rsidP="009E4D2A">
      <w:pPr>
        <w:jc w:val="both"/>
        <w:rPr>
          <w:lang w:eastAsia="nl-NL"/>
        </w:rPr>
      </w:pPr>
      <w:r w:rsidRPr="009E4D2A">
        <w:rPr>
          <w:lang w:eastAsia="nl-NL"/>
        </w:rPr>
        <w:t xml:space="preserve">The report is divided into three parts. 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Part 1: update of progress towards the six EFA goals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Part 2: evidence that progress in education is vital for achieving development goals after 2015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Part 3: importance of policies to unlock the potential of teachers</w:t>
      </w:r>
    </w:p>
    <w:p w:rsidR="009E4D2A" w:rsidRPr="009E4D2A" w:rsidRDefault="009E4D2A" w:rsidP="009E4D2A">
      <w:pPr>
        <w:jc w:val="both"/>
        <w:rPr>
          <w:lang w:eastAsia="nl-NL"/>
        </w:rPr>
      </w:pPr>
      <w:r w:rsidRPr="009E4D2A">
        <w:rPr>
          <w:lang w:eastAsia="nl-NL"/>
        </w:rPr>
        <w:t>These are the highlights of the report: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Goal 1: Too many children lack early childhood education and care.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lastRenderedPageBreak/>
        <w:t xml:space="preserve">Goal 2: Universal primary education is likely </w:t>
      </w:r>
      <w:proofErr w:type="spellStart"/>
      <w:r w:rsidRPr="006A1F79">
        <w:rPr>
          <w:lang w:val="en-US"/>
        </w:rPr>
        <w:t>tob</w:t>
      </w:r>
      <w:proofErr w:type="spellEnd"/>
      <w:r w:rsidRPr="006A1F79">
        <w:rPr>
          <w:lang w:val="en-US"/>
        </w:rPr>
        <w:t xml:space="preserve"> e missed by a wide margin; in conflict-affected countries, millions of children are out of school.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Goal 3: Many adolescen</w:t>
      </w:r>
      <w:r w:rsidR="00385999">
        <w:rPr>
          <w:lang w:val="en-US"/>
        </w:rPr>
        <w:t>t</w:t>
      </w:r>
      <w:r w:rsidRPr="006A1F79">
        <w:rPr>
          <w:lang w:val="en-US"/>
        </w:rPr>
        <w:t>s lack foundation skills gained through lower secondary education, with only little improvement since 2004.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Goal 4: Adult literacy has hardly improved (a decline of only 1 % since 2000), with two thirds of illiterate adults being women.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>Goal 5: Gender disparities remain in many countries.</w:t>
      </w:r>
    </w:p>
    <w:p w:rsidR="009E4D2A" w:rsidRPr="006A1F79" w:rsidRDefault="009E4D2A" w:rsidP="009E4D2A">
      <w:pPr>
        <w:pStyle w:val="Lijstalinea"/>
        <w:numPr>
          <w:ilvl w:val="0"/>
          <w:numId w:val="3"/>
        </w:numPr>
        <w:jc w:val="both"/>
        <w:rPr>
          <w:lang w:val="en-US"/>
        </w:rPr>
      </w:pPr>
      <w:r w:rsidRPr="006A1F79">
        <w:rPr>
          <w:lang w:val="en-US"/>
        </w:rPr>
        <w:t xml:space="preserve">Goal 6: Poor quality of education means millions of </w:t>
      </w:r>
      <w:proofErr w:type="spellStart"/>
      <w:r w:rsidRPr="006A1F79">
        <w:rPr>
          <w:lang w:val="en-US"/>
        </w:rPr>
        <w:t>chidren</w:t>
      </w:r>
      <w:proofErr w:type="spellEnd"/>
      <w:r w:rsidRPr="006A1F79">
        <w:rPr>
          <w:lang w:val="en-US"/>
        </w:rPr>
        <w:t xml:space="preserve"> are not learning the basics, with an enormous annual cost. Investing in teachers is key; in a third of the countries, the challenge of training existing teachers is worse than that of recruiting and training new teachers.</w:t>
      </w:r>
    </w:p>
    <w:p w:rsidR="0035537F" w:rsidRPr="004736B5" w:rsidRDefault="00DF7FD6" w:rsidP="004736B5">
      <w:pPr>
        <w:jc w:val="both"/>
        <w:rPr>
          <w:lang w:val="en-US"/>
        </w:rPr>
      </w:pPr>
      <w:hyperlink r:id="rId15" w:history="1">
        <w:r w:rsidR="004736B5" w:rsidRPr="004736B5">
          <w:rPr>
            <w:rStyle w:val="Hyperlink"/>
            <w:lang w:val="en-US"/>
          </w:rPr>
          <w:t>The report</w:t>
        </w:r>
      </w:hyperlink>
    </w:p>
    <w:sectPr w:rsidR="0035537F" w:rsidRPr="004736B5" w:rsidSect="009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A9" w:rsidRDefault="00DB62A9" w:rsidP="001A562D">
      <w:pPr>
        <w:spacing w:after="0" w:line="240" w:lineRule="auto"/>
      </w:pPr>
      <w:r>
        <w:separator/>
      </w:r>
    </w:p>
  </w:endnote>
  <w:end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A9" w:rsidRDefault="00DB62A9" w:rsidP="001A562D">
      <w:pPr>
        <w:spacing w:after="0" w:line="240" w:lineRule="auto"/>
      </w:pPr>
      <w:r>
        <w:separator/>
      </w:r>
    </w:p>
  </w:footnote>
  <w:foot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26"/>
    <w:multiLevelType w:val="hybridMultilevel"/>
    <w:tmpl w:val="8F46073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3A7C2700">
      <w:numFmt w:val="bullet"/>
      <w:lvlText w:val="-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52C"/>
    <w:multiLevelType w:val="hybridMultilevel"/>
    <w:tmpl w:val="74DA4382"/>
    <w:lvl w:ilvl="0" w:tplc="C608B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53872"/>
    <w:multiLevelType w:val="hybridMultilevel"/>
    <w:tmpl w:val="621C3B6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97935"/>
    <w:multiLevelType w:val="hybridMultilevel"/>
    <w:tmpl w:val="0436E5A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1FF"/>
    <w:multiLevelType w:val="hybridMultilevel"/>
    <w:tmpl w:val="A5AEABD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129D"/>
    <w:multiLevelType w:val="hybridMultilevel"/>
    <w:tmpl w:val="1D4A1488"/>
    <w:lvl w:ilvl="0" w:tplc="959E4B6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2" w:hanging="360"/>
      </w:pPr>
    </w:lvl>
    <w:lvl w:ilvl="2" w:tplc="0813001B" w:tentative="1">
      <w:start w:val="1"/>
      <w:numFmt w:val="lowerRoman"/>
      <w:lvlText w:val="%3."/>
      <w:lvlJc w:val="right"/>
      <w:pPr>
        <w:ind w:left="2232" w:hanging="180"/>
      </w:pPr>
    </w:lvl>
    <w:lvl w:ilvl="3" w:tplc="0813000F" w:tentative="1">
      <w:start w:val="1"/>
      <w:numFmt w:val="decimal"/>
      <w:lvlText w:val="%4."/>
      <w:lvlJc w:val="left"/>
      <w:pPr>
        <w:ind w:left="2952" w:hanging="360"/>
      </w:pPr>
    </w:lvl>
    <w:lvl w:ilvl="4" w:tplc="08130019" w:tentative="1">
      <w:start w:val="1"/>
      <w:numFmt w:val="lowerLetter"/>
      <w:lvlText w:val="%5."/>
      <w:lvlJc w:val="left"/>
      <w:pPr>
        <w:ind w:left="3672" w:hanging="360"/>
      </w:pPr>
    </w:lvl>
    <w:lvl w:ilvl="5" w:tplc="0813001B" w:tentative="1">
      <w:start w:val="1"/>
      <w:numFmt w:val="lowerRoman"/>
      <w:lvlText w:val="%6."/>
      <w:lvlJc w:val="right"/>
      <w:pPr>
        <w:ind w:left="4392" w:hanging="180"/>
      </w:pPr>
    </w:lvl>
    <w:lvl w:ilvl="6" w:tplc="0813000F" w:tentative="1">
      <w:start w:val="1"/>
      <w:numFmt w:val="decimal"/>
      <w:lvlText w:val="%7."/>
      <w:lvlJc w:val="left"/>
      <w:pPr>
        <w:ind w:left="5112" w:hanging="360"/>
      </w:pPr>
    </w:lvl>
    <w:lvl w:ilvl="7" w:tplc="08130019" w:tentative="1">
      <w:start w:val="1"/>
      <w:numFmt w:val="lowerLetter"/>
      <w:lvlText w:val="%8."/>
      <w:lvlJc w:val="left"/>
      <w:pPr>
        <w:ind w:left="5832" w:hanging="360"/>
      </w:pPr>
    </w:lvl>
    <w:lvl w:ilvl="8" w:tplc="08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157595C"/>
    <w:multiLevelType w:val="hybridMultilevel"/>
    <w:tmpl w:val="F47018B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131B"/>
    <w:multiLevelType w:val="hybridMultilevel"/>
    <w:tmpl w:val="2C32DB6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8124D"/>
    <w:multiLevelType w:val="hybridMultilevel"/>
    <w:tmpl w:val="6A70A15A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6EEA"/>
    <w:multiLevelType w:val="multilevel"/>
    <w:tmpl w:val="FBA450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B5C5714"/>
    <w:multiLevelType w:val="hybridMultilevel"/>
    <w:tmpl w:val="E5D0E0D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33FCBD42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7F4A"/>
    <w:multiLevelType w:val="hybridMultilevel"/>
    <w:tmpl w:val="E6F84698"/>
    <w:lvl w:ilvl="0" w:tplc="1EBC7584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321D4"/>
    <w:multiLevelType w:val="hybridMultilevel"/>
    <w:tmpl w:val="DFF6682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21E69"/>
    <w:multiLevelType w:val="hybridMultilevel"/>
    <w:tmpl w:val="BF08505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23F85"/>
    <w:multiLevelType w:val="hybridMultilevel"/>
    <w:tmpl w:val="184EE55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050"/>
    <w:multiLevelType w:val="hybridMultilevel"/>
    <w:tmpl w:val="01B4ACCA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F4B9B"/>
    <w:multiLevelType w:val="hybridMultilevel"/>
    <w:tmpl w:val="5C360DA8"/>
    <w:lvl w:ilvl="0" w:tplc="33FCBD4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874B9A"/>
    <w:multiLevelType w:val="hybridMultilevel"/>
    <w:tmpl w:val="251C04C2"/>
    <w:lvl w:ilvl="0" w:tplc="3F6A509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53FDC"/>
    <w:multiLevelType w:val="multilevel"/>
    <w:tmpl w:val="4ADC40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445439B"/>
    <w:multiLevelType w:val="multilevel"/>
    <w:tmpl w:val="88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13EE0"/>
    <w:multiLevelType w:val="hybridMultilevel"/>
    <w:tmpl w:val="96DAB60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19A0"/>
    <w:multiLevelType w:val="multilevel"/>
    <w:tmpl w:val="48F2F69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8030E7F"/>
    <w:multiLevelType w:val="hybridMultilevel"/>
    <w:tmpl w:val="951274E0"/>
    <w:lvl w:ilvl="0" w:tplc="33FCBD4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A5A2B"/>
    <w:multiLevelType w:val="hybridMultilevel"/>
    <w:tmpl w:val="D10E9AB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2F68"/>
    <w:multiLevelType w:val="multilevel"/>
    <w:tmpl w:val="7E203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0827167"/>
    <w:multiLevelType w:val="hybridMultilevel"/>
    <w:tmpl w:val="9E3496B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72C55"/>
    <w:multiLevelType w:val="hybridMultilevel"/>
    <w:tmpl w:val="02E8DEF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F81288"/>
    <w:multiLevelType w:val="hybridMultilevel"/>
    <w:tmpl w:val="6776879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E3FFD"/>
    <w:multiLevelType w:val="hybridMultilevel"/>
    <w:tmpl w:val="343EA70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1"/>
  </w:num>
  <w:num w:numId="17">
    <w:abstractNumId w:val="21"/>
  </w:num>
  <w:num w:numId="18">
    <w:abstractNumId w:val="21"/>
  </w:num>
  <w:num w:numId="19">
    <w:abstractNumId w:val="6"/>
  </w:num>
  <w:num w:numId="20">
    <w:abstractNumId w:val="13"/>
  </w:num>
  <w:num w:numId="21">
    <w:abstractNumId w:val="27"/>
  </w:num>
  <w:num w:numId="22">
    <w:abstractNumId w:val="3"/>
  </w:num>
  <w:num w:numId="23">
    <w:abstractNumId w:val="8"/>
  </w:num>
  <w:num w:numId="24">
    <w:abstractNumId w:val="28"/>
  </w:num>
  <w:num w:numId="25">
    <w:abstractNumId w:val="26"/>
  </w:num>
  <w:num w:numId="26">
    <w:abstractNumId w:val="22"/>
  </w:num>
  <w:num w:numId="27">
    <w:abstractNumId w:val="14"/>
  </w:num>
  <w:num w:numId="28">
    <w:abstractNumId w:val="20"/>
  </w:num>
  <w:num w:numId="29">
    <w:abstractNumId w:val="25"/>
  </w:num>
  <w:num w:numId="30">
    <w:abstractNumId w:val="4"/>
  </w:num>
  <w:num w:numId="31">
    <w:abstractNumId w:val="15"/>
  </w:num>
  <w:num w:numId="32">
    <w:abstractNumId w:val="0"/>
  </w:num>
  <w:num w:numId="33">
    <w:abstractNumId w:val="16"/>
  </w:num>
  <w:num w:numId="34">
    <w:abstractNumId w:val="12"/>
  </w:num>
  <w:num w:numId="35">
    <w:abstractNumId w:val="7"/>
  </w:num>
  <w:num w:numId="36">
    <w:abstractNumId w:val="23"/>
  </w:num>
  <w:num w:numId="37">
    <w:abstractNumId w:val="2"/>
  </w:num>
  <w:num w:numId="38">
    <w:abstractNumId w:val="1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3"/>
    <w:rsid w:val="00001E92"/>
    <w:rsid w:val="00016826"/>
    <w:rsid w:val="00022247"/>
    <w:rsid w:val="00022345"/>
    <w:rsid w:val="000227C1"/>
    <w:rsid w:val="0002567D"/>
    <w:rsid w:val="000316AA"/>
    <w:rsid w:val="00056D64"/>
    <w:rsid w:val="0008328A"/>
    <w:rsid w:val="000A2CC7"/>
    <w:rsid w:val="000A3C82"/>
    <w:rsid w:val="000B6094"/>
    <w:rsid w:val="000E259E"/>
    <w:rsid w:val="000F26A3"/>
    <w:rsid w:val="000F7FFC"/>
    <w:rsid w:val="00115186"/>
    <w:rsid w:val="0012199B"/>
    <w:rsid w:val="00142B48"/>
    <w:rsid w:val="0014455D"/>
    <w:rsid w:val="0014694D"/>
    <w:rsid w:val="001619C9"/>
    <w:rsid w:val="0016512C"/>
    <w:rsid w:val="00167BCA"/>
    <w:rsid w:val="00171871"/>
    <w:rsid w:val="0019588E"/>
    <w:rsid w:val="001A2E00"/>
    <w:rsid w:val="001A33C3"/>
    <w:rsid w:val="001A562D"/>
    <w:rsid w:val="001A6B6C"/>
    <w:rsid w:val="001B4D12"/>
    <w:rsid w:val="001E261D"/>
    <w:rsid w:val="001E70D7"/>
    <w:rsid w:val="001E73A0"/>
    <w:rsid w:val="002004CB"/>
    <w:rsid w:val="002423E9"/>
    <w:rsid w:val="0024745B"/>
    <w:rsid w:val="00250171"/>
    <w:rsid w:val="002523BB"/>
    <w:rsid w:val="00262D54"/>
    <w:rsid w:val="0027564B"/>
    <w:rsid w:val="00283583"/>
    <w:rsid w:val="00286CB4"/>
    <w:rsid w:val="00295C46"/>
    <w:rsid w:val="002A00BF"/>
    <w:rsid w:val="002A618F"/>
    <w:rsid w:val="002E20BF"/>
    <w:rsid w:val="002F18D0"/>
    <w:rsid w:val="002F1DC4"/>
    <w:rsid w:val="00303E38"/>
    <w:rsid w:val="003042D2"/>
    <w:rsid w:val="00307111"/>
    <w:rsid w:val="00313A18"/>
    <w:rsid w:val="00315C27"/>
    <w:rsid w:val="00327F50"/>
    <w:rsid w:val="00345968"/>
    <w:rsid w:val="0035537F"/>
    <w:rsid w:val="00385999"/>
    <w:rsid w:val="00397AA6"/>
    <w:rsid w:val="003B1CB1"/>
    <w:rsid w:val="003C5895"/>
    <w:rsid w:val="003C5D1D"/>
    <w:rsid w:val="003D6108"/>
    <w:rsid w:val="003E0DDF"/>
    <w:rsid w:val="003E33FB"/>
    <w:rsid w:val="003F42D4"/>
    <w:rsid w:val="00414661"/>
    <w:rsid w:val="00444402"/>
    <w:rsid w:val="00446D48"/>
    <w:rsid w:val="004736B5"/>
    <w:rsid w:val="004857AA"/>
    <w:rsid w:val="00490A22"/>
    <w:rsid w:val="004912B1"/>
    <w:rsid w:val="004A00ED"/>
    <w:rsid w:val="004B6B94"/>
    <w:rsid w:val="004C73F4"/>
    <w:rsid w:val="004E3959"/>
    <w:rsid w:val="004E460D"/>
    <w:rsid w:val="004F11DC"/>
    <w:rsid w:val="004F5D1B"/>
    <w:rsid w:val="0050410B"/>
    <w:rsid w:val="0051067D"/>
    <w:rsid w:val="00521002"/>
    <w:rsid w:val="00524EAD"/>
    <w:rsid w:val="00525F23"/>
    <w:rsid w:val="00540E64"/>
    <w:rsid w:val="005438CE"/>
    <w:rsid w:val="0054511E"/>
    <w:rsid w:val="00580163"/>
    <w:rsid w:val="00594A67"/>
    <w:rsid w:val="005954C9"/>
    <w:rsid w:val="00595836"/>
    <w:rsid w:val="005A3EBF"/>
    <w:rsid w:val="005A5C4F"/>
    <w:rsid w:val="005C375E"/>
    <w:rsid w:val="005C4B04"/>
    <w:rsid w:val="005C6A2F"/>
    <w:rsid w:val="005D54BE"/>
    <w:rsid w:val="00606EE3"/>
    <w:rsid w:val="00620126"/>
    <w:rsid w:val="00636586"/>
    <w:rsid w:val="00636E83"/>
    <w:rsid w:val="00640A7B"/>
    <w:rsid w:val="00655456"/>
    <w:rsid w:val="00667255"/>
    <w:rsid w:val="006737DB"/>
    <w:rsid w:val="006830B1"/>
    <w:rsid w:val="00687F6D"/>
    <w:rsid w:val="00690796"/>
    <w:rsid w:val="00694F81"/>
    <w:rsid w:val="006A1F79"/>
    <w:rsid w:val="006B0C8A"/>
    <w:rsid w:val="006B440E"/>
    <w:rsid w:val="006B4F2C"/>
    <w:rsid w:val="007233A4"/>
    <w:rsid w:val="00736833"/>
    <w:rsid w:val="007371FD"/>
    <w:rsid w:val="00742BB0"/>
    <w:rsid w:val="00756340"/>
    <w:rsid w:val="007975A0"/>
    <w:rsid w:val="007B3B0E"/>
    <w:rsid w:val="007C262E"/>
    <w:rsid w:val="007C4BB0"/>
    <w:rsid w:val="007E6E3B"/>
    <w:rsid w:val="007E7524"/>
    <w:rsid w:val="00805AB3"/>
    <w:rsid w:val="00815A66"/>
    <w:rsid w:val="00823351"/>
    <w:rsid w:val="00823631"/>
    <w:rsid w:val="008544B9"/>
    <w:rsid w:val="008609CD"/>
    <w:rsid w:val="00862889"/>
    <w:rsid w:val="008B76F8"/>
    <w:rsid w:val="008C0AFA"/>
    <w:rsid w:val="008E5FDB"/>
    <w:rsid w:val="008E70D8"/>
    <w:rsid w:val="008F073C"/>
    <w:rsid w:val="008F32C9"/>
    <w:rsid w:val="008F34CF"/>
    <w:rsid w:val="009016EC"/>
    <w:rsid w:val="00901EC2"/>
    <w:rsid w:val="009162BF"/>
    <w:rsid w:val="009173A6"/>
    <w:rsid w:val="00923367"/>
    <w:rsid w:val="00932107"/>
    <w:rsid w:val="00946161"/>
    <w:rsid w:val="00952EF8"/>
    <w:rsid w:val="0095556E"/>
    <w:rsid w:val="00957359"/>
    <w:rsid w:val="009705EE"/>
    <w:rsid w:val="00981644"/>
    <w:rsid w:val="00981BE2"/>
    <w:rsid w:val="009840DF"/>
    <w:rsid w:val="00986421"/>
    <w:rsid w:val="009900A7"/>
    <w:rsid w:val="009E4D2A"/>
    <w:rsid w:val="009E5FE7"/>
    <w:rsid w:val="009E7462"/>
    <w:rsid w:val="009F2313"/>
    <w:rsid w:val="00A03E6C"/>
    <w:rsid w:val="00A0421A"/>
    <w:rsid w:val="00A0733A"/>
    <w:rsid w:val="00A40916"/>
    <w:rsid w:val="00A4730A"/>
    <w:rsid w:val="00A51132"/>
    <w:rsid w:val="00A52830"/>
    <w:rsid w:val="00A539D6"/>
    <w:rsid w:val="00A612D6"/>
    <w:rsid w:val="00A63D3C"/>
    <w:rsid w:val="00A74634"/>
    <w:rsid w:val="00A84691"/>
    <w:rsid w:val="00AA00FB"/>
    <w:rsid w:val="00AA2A99"/>
    <w:rsid w:val="00AB359C"/>
    <w:rsid w:val="00AB5572"/>
    <w:rsid w:val="00AD0DB3"/>
    <w:rsid w:val="00B00CA6"/>
    <w:rsid w:val="00B05291"/>
    <w:rsid w:val="00B16BD2"/>
    <w:rsid w:val="00B16EC1"/>
    <w:rsid w:val="00B337B9"/>
    <w:rsid w:val="00B42CEF"/>
    <w:rsid w:val="00B656CF"/>
    <w:rsid w:val="00BB719D"/>
    <w:rsid w:val="00BB7F4C"/>
    <w:rsid w:val="00BC134D"/>
    <w:rsid w:val="00BC2240"/>
    <w:rsid w:val="00BC53B0"/>
    <w:rsid w:val="00BC53B9"/>
    <w:rsid w:val="00BF102D"/>
    <w:rsid w:val="00BF4B2C"/>
    <w:rsid w:val="00C00445"/>
    <w:rsid w:val="00C12F4F"/>
    <w:rsid w:val="00C16CC4"/>
    <w:rsid w:val="00C44A32"/>
    <w:rsid w:val="00C50F63"/>
    <w:rsid w:val="00C53D96"/>
    <w:rsid w:val="00C62759"/>
    <w:rsid w:val="00C67942"/>
    <w:rsid w:val="00C91C14"/>
    <w:rsid w:val="00CB6E4E"/>
    <w:rsid w:val="00CC17CD"/>
    <w:rsid w:val="00CC44DA"/>
    <w:rsid w:val="00CD23BF"/>
    <w:rsid w:val="00CF12DE"/>
    <w:rsid w:val="00CF41FF"/>
    <w:rsid w:val="00D440DB"/>
    <w:rsid w:val="00D4601B"/>
    <w:rsid w:val="00D54AF5"/>
    <w:rsid w:val="00D603DB"/>
    <w:rsid w:val="00D650E4"/>
    <w:rsid w:val="00D670B5"/>
    <w:rsid w:val="00D719E8"/>
    <w:rsid w:val="00D71E53"/>
    <w:rsid w:val="00D85097"/>
    <w:rsid w:val="00D92E30"/>
    <w:rsid w:val="00D9546E"/>
    <w:rsid w:val="00DA15E3"/>
    <w:rsid w:val="00DB3304"/>
    <w:rsid w:val="00DB59FC"/>
    <w:rsid w:val="00DB62A9"/>
    <w:rsid w:val="00DB7721"/>
    <w:rsid w:val="00DD38F3"/>
    <w:rsid w:val="00DD4EBC"/>
    <w:rsid w:val="00DE5D77"/>
    <w:rsid w:val="00DE63E7"/>
    <w:rsid w:val="00DF7FD6"/>
    <w:rsid w:val="00E02B76"/>
    <w:rsid w:val="00E03A2C"/>
    <w:rsid w:val="00E042AF"/>
    <w:rsid w:val="00E0453A"/>
    <w:rsid w:val="00E112CA"/>
    <w:rsid w:val="00E3616C"/>
    <w:rsid w:val="00E40107"/>
    <w:rsid w:val="00E5047B"/>
    <w:rsid w:val="00E54671"/>
    <w:rsid w:val="00E552B9"/>
    <w:rsid w:val="00E729D6"/>
    <w:rsid w:val="00E74AD7"/>
    <w:rsid w:val="00E84D4C"/>
    <w:rsid w:val="00E85377"/>
    <w:rsid w:val="00EA02C7"/>
    <w:rsid w:val="00EA1B72"/>
    <w:rsid w:val="00EB2EB9"/>
    <w:rsid w:val="00ED1AA1"/>
    <w:rsid w:val="00EE75B7"/>
    <w:rsid w:val="00EF2ACC"/>
    <w:rsid w:val="00EF3A3C"/>
    <w:rsid w:val="00F031D9"/>
    <w:rsid w:val="00F0780A"/>
    <w:rsid w:val="00F278AD"/>
    <w:rsid w:val="00F331EA"/>
    <w:rsid w:val="00F42455"/>
    <w:rsid w:val="00F43738"/>
    <w:rsid w:val="00F46EBB"/>
    <w:rsid w:val="00F50951"/>
    <w:rsid w:val="00F50A46"/>
    <w:rsid w:val="00F5604C"/>
    <w:rsid w:val="00F740D5"/>
    <w:rsid w:val="00F74C1C"/>
    <w:rsid w:val="00F75876"/>
    <w:rsid w:val="00F8045C"/>
    <w:rsid w:val="00F82102"/>
    <w:rsid w:val="00F92606"/>
    <w:rsid w:val="00FB32B3"/>
    <w:rsid w:val="00FD06A4"/>
    <w:rsid w:val="00FE425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31D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31D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31D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031D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31D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31D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31D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31D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31D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946161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rsid w:val="00946161"/>
    <w:rPr>
      <w:rFonts w:ascii="Verdana" w:eastAsia="Times New Roman" w:hAnsi="Verdana" w:cs="Times New Roman"/>
      <w:b/>
      <w:color w:val="33CCCC"/>
      <w:kern w:val="28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03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3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3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F03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3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31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31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31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3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31D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31D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31D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031D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31D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31D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31D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31D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31D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946161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rsid w:val="00946161"/>
    <w:rPr>
      <w:rFonts w:ascii="Verdana" w:eastAsia="Times New Roman" w:hAnsi="Verdana" w:cs="Times New Roman"/>
      <w:b/>
      <w:color w:val="33CCCC"/>
      <w:kern w:val="28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03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3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3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F03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3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31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31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31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3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7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1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CCEDD"/>
                        <w:right w:val="none" w:sz="0" w:space="0" w:color="auto"/>
                      </w:divBdr>
                    </w:div>
                    <w:div w:id="5528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90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51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812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esdoc.unesco.org/images/0022/002256/225606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esdoc.unesco.org/images/0022/002251/225172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conference-vilniusdecember2013.teamwork.fr/en/docum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esdoc.unesco.org/images/0022/002256/225660e.pdf" TargetMode="External"/><Relationship Id="rId10" Type="http://schemas.openxmlformats.org/officeDocument/2006/relationships/hyperlink" Target="https://alconference-vilniusdecember2013.teamwork.fr/en/program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esco.org/new/en/communication-and-information/media-development/media-literacy/mil-as-composite-concep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13C6-C05D-4931-9B4C-7F80301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 Smet</dc:creator>
  <cp:lastModifiedBy>Carine De Smet</cp:lastModifiedBy>
  <cp:revision>2</cp:revision>
  <cp:lastPrinted>2014-02-26T16:57:00Z</cp:lastPrinted>
  <dcterms:created xsi:type="dcterms:W3CDTF">2014-05-15T12:03:00Z</dcterms:created>
  <dcterms:modified xsi:type="dcterms:W3CDTF">2014-05-15T12:03:00Z</dcterms:modified>
</cp:coreProperties>
</file>