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0F1A97" w14:textId="77777777" w:rsidR="00245496" w:rsidRDefault="00245496" w:rsidP="00CF33EC">
      <w:pPr>
        <w:pStyle w:val="Titel"/>
      </w:pPr>
      <w:r w:rsidRPr="00946161">
        <w:t>Main Policy Lines in Education and Training</w:t>
      </w:r>
    </w:p>
    <w:p w14:paraId="0542C259" w14:textId="2E910F9E" w:rsidR="00DF6A46" w:rsidRDefault="00245496" w:rsidP="00C82266">
      <w:pPr>
        <w:pStyle w:val="Titel"/>
      </w:pPr>
      <w:r w:rsidRPr="00CD5B79">
        <w:t>(</w:t>
      </w:r>
      <w:r w:rsidR="00502206">
        <w:t xml:space="preserve">September </w:t>
      </w:r>
      <w:r w:rsidR="00F74945">
        <w:t>2015</w:t>
      </w:r>
      <w:r w:rsidR="00502206">
        <w:t xml:space="preserve"> </w:t>
      </w:r>
      <w:r w:rsidR="008F0B76">
        <w:t>–</w:t>
      </w:r>
      <w:r w:rsidR="00502206">
        <w:t xml:space="preserve"> </w:t>
      </w:r>
      <w:r w:rsidR="008F0B76">
        <w:t>February 2016</w:t>
      </w:r>
      <w:r w:rsidR="006D0D65">
        <w:t>)</w:t>
      </w:r>
    </w:p>
    <w:p w14:paraId="1921539B" w14:textId="536C2B5D" w:rsidR="00C82266" w:rsidRDefault="006E2592" w:rsidP="006E2592">
      <w:pPr>
        <w:tabs>
          <w:tab w:val="left" w:pos="3090"/>
        </w:tabs>
        <w:rPr>
          <w:lang w:val="en-GB" w:eastAsia="nl-NL"/>
        </w:rPr>
      </w:pPr>
      <w:r>
        <w:rPr>
          <w:lang w:val="en-GB" w:eastAsia="nl-NL"/>
        </w:rPr>
        <w:tab/>
      </w:r>
    </w:p>
    <w:sdt>
      <w:sdtPr>
        <w:rPr>
          <w:rFonts w:asciiTheme="minorHAnsi" w:eastAsiaTheme="minorHAnsi" w:hAnsiTheme="minorHAnsi" w:cstheme="minorBidi"/>
          <w:color w:val="auto"/>
          <w:sz w:val="22"/>
          <w:szCs w:val="22"/>
          <w:lang w:val="nl-NL" w:eastAsia="en-US"/>
        </w:rPr>
        <w:id w:val="1042863376"/>
        <w:docPartObj>
          <w:docPartGallery w:val="Table of Contents"/>
          <w:docPartUnique/>
        </w:docPartObj>
      </w:sdtPr>
      <w:sdtEndPr>
        <w:rPr>
          <w:b/>
          <w:bCs/>
        </w:rPr>
      </w:sdtEndPr>
      <w:sdtContent>
        <w:p w14:paraId="729A958D" w14:textId="39580232" w:rsidR="00C2654E" w:rsidRDefault="00C2654E" w:rsidP="006E2592">
          <w:pPr>
            <w:pStyle w:val="Kopvaninhoudsopgave"/>
            <w:tabs>
              <w:tab w:val="left" w:pos="3090"/>
            </w:tabs>
          </w:pPr>
          <w:r>
            <w:rPr>
              <w:lang w:val="nl-NL"/>
            </w:rPr>
            <w:t>European Union</w:t>
          </w:r>
          <w:r w:rsidR="006E2592">
            <w:rPr>
              <w:lang w:val="nl-NL"/>
            </w:rPr>
            <w:tab/>
          </w:r>
        </w:p>
        <w:p w14:paraId="0A4A158E" w14:textId="77777777" w:rsidR="006E2592" w:rsidRDefault="00C2654E">
          <w:pPr>
            <w:pStyle w:val="Inhopg1"/>
            <w:tabs>
              <w:tab w:val="left" w:pos="440"/>
              <w:tab w:val="right" w:leader="dot" w:pos="9062"/>
            </w:tabs>
            <w:rPr>
              <w:rFonts w:eastAsiaTheme="minorEastAsia"/>
              <w:noProof/>
              <w:lang w:val="nl-BE" w:eastAsia="nl-BE"/>
            </w:rPr>
          </w:pPr>
          <w:r>
            <w:fldChar w:fldCharType="begin"/>
          </w:r>
          <w:r>
            <w:instrText xml:space="preserve"> TOC \o "1-3" \h \z \u </w:instrText>
          </w:r>
          <w:r>
            <w:fldChar w:fldCharType="separate"/>
          </w:r>
          <w:hyperlink w:anchor="_Toc444869825" w:history="1">
            <w:r w:rsidR="006E2592" w:rsidRPr="00B63241">
              <w:rPr>
                <w:rStyle w:val="Hyperlink"/>
                <w:rFonts w:eastAsia="Times New Roman"/>
                <w:noProof/>
              </w:rPr>
              <w:t>1</w:t>
            </w:r>
            <w:r w:rsidR="006E2592">
              <w:rPr>
                <w:rFonts w:eastAsiaTheme="minorEastAsia"/>
                <w:noProof/>
                <w:lang w:val="nl-BE" w:eastAsia="nl-BE"/>
              </w:rPr>
              <w:tab/>
            </w:r>
            <w:r w:rsidR="006E2592" w:rsidRPr="00B63241">
              <w:rPr>
                <w:rStyle w:val="Hyperlink"/>
                <w:rFonts w:eastAsia="Times New Roman"/>
                <w:noProof/>
              </w:rPr>
              <w:t>Institutional context</w:t>
            </w:r>
            <w:r w:rsidR="006E2592">
              <w:rPr>
                <w:noProof/>
                <w:webHidden/>
              </w:rPr>
              <w:tab/>
            </w:r>
            <w:r w:rsidR="006E2592">
              <w:rPr>
                <w:noProof/>
                <w:webHidden/>
              </w:rPr>
              <w:fldChar w:fldCharType="begin"/>
            </w:r>
            <w:r w:rsidR="006E2592">
              <w:rPr>
                <w:noProof/>
                <w:webHidden/>
              </w:rPr>
              <w:instrText xml:space="preserve"> PAGEREF _Toc444869825 \h </w:instrText>
            </w:r>
            <w:r w:rsidR="006E2592">
              <w:rPr>
                <w:noProof/>
                <w:webHidden/>
              </w:rPr>
            </w:r>
            <w:r w:rsidR="006E2592">
              <w:rPr>
                <w:noProof/>
                <w:webHidden/>
              </w:rPr>
              <w:fldChar w:fldCharType="separate"/>
            </w:r>
            <w:r w:rsidR="006E2592">
              <w:rPr>
                <w:noProof/>
                <w:webHidden/>
              </w:rPr>
              <w:t>3</w:t>
            </w:r>
            <w:r w:rsidR="006E2592">
              <w:rPr>
                <w:noProof/>
                <w:webHidden/>
              </w:rPr>
              <w:fldChar w:fldCharType="end"/>
            </w:r>
          </w:hyperlink>
        </w:p>
        <w:p w14:paraId="5729B05E" w14:textId="77777777" w:rsidR="006E2592" w:rsidRDefault="0069572D">
          <w:pPr>
            <w:pStyle w:val="Inhopg2"/>
            <w:tabs>
              <w:tab w:val="left" w:pos="880"/>
              <w:tab w:val="right" w:leader="dot" w:pos="9062"/>
            </w:tabs>
            <w:rPr>
              <w:rFonts w:eastAsiaTheme="minorEastAsia"/>
              <w:noProof/>
              <w:lang w:val="nl-BE" w:eastAsia="nl-BE"/>
            </w:rPr>
          </w:pPr>
          <w:hyperlink w:anchor="_Toc444869826" w:history="1">
            <w:r w:rsidR="006E2592" w:rsidRPr="00B63241">
              <w:rPr>
                <w:rStyle w:val="Hyperlink"/>
                <w:noProof/>
              </w:rPr>
              <w:t>1.1</w:t>
            </w:r>
            <w:r w:rsidR="006E2592">
              <w:rPr>
                <w:rFonts w:eastAsiaTheme="minorEastAsia"/>
                <w:noProof/>
                <w:lang w:val="nl-BE" w:eastAsia="nl-BE"/>
              </w:rPr>
              <w:tab/>
            </w:r>
            <w:r w:rsidR="006E2592" w:rsidRPr="00B63241">
              <w:rPr>
                <w:rStyle w:val="Hyperlink"/>
                <w:noProof/>
              </w:rPr>
              <w:t>European Commission Work Programme 2016: ‘No time for business as usual’</w:t>
            </w:r>
            <w:r w:rsidR="006E2592">
              <w:rPr>
                <w:noProof/>
                <w:webHidden/>
              </w:rPr>
              <w:tab/>
            </w:r>
            <w:r w:rsidR="006E2592">
              <w:rPr>
                <w:noProof/>
                <w:webHidden/>
              </w:rPr>
              <w:fldChar w:fldCharType="begin"/>
            </w:r>
            <w:r w:rsidR="006E2592">
              <w:rPr>
                <w:noProof/>
                <w:webHidden/>
              </w:rPr>
              <w:instrText xml:space="preserve"> PAGEREF _Toc444869826 \h </w:instrText>
            </w:r>
            <w:r w:rsidR="006E2592">
              <w:rPr>
                <w:noProof/>
                <w:webHidden/>
              </w:rPr>
            </w:r>
            <w:r w:rsidR="006E2592">
              <w:rPr>
                <w:noProof/>
                <w:webHidden/>
              </w:rPr>
              <w:fldChar w:fldCharType="separate"/>
            </w:r>
            <w:r w:rsidR="006E2592">
              <w:rPr>
                <w:noProof/>
                <w:webHidden/>
              </w:rPr>
              <w:t>3</w:t>
            </w:r>
            <w:r w:rsidR="006E2592">
              <w:rPr>
                <w:noProof/>
                <w:webHidden/>
              </w:rPr>
              <w:fldChar w:fldCharType="end"/>
            </w:r>
          </w:hyperlink>
        </w:p>
        <w:p w14:paraId="755FEBF0" w14:textId="77777777" w:rsidR="006E2592" w:rsidRDefault="0069572D">
          <w:pPr>
            <w:pStyle w:val="Inhopg2"/>
            <w:tabs>
              <w:tab w:val="left" w:pos="880"/>
              <w:tab w:val="right" w:leader="dot" w:pos="9062"/>
            </w:tabs>
            <w:rPr>
              <w:rFonts w:eastAsiaTheme="minorEastAsia"/>
              <w:noProof/>
              <w:lang w:val="nl-BE" w:eastAsia="nl-BE"/>
            </w:rPr>
          </w:pPr>
          <w:hyperlink w:anchor="_Toc444869827" w:history="1">
            <w:r w:rsidR="006E2592" w:rsidRPr="00B63241">
              <w:rPr>
                <w:rStyle w:val="Hyperlink"/>
                <w:noProof/>
              </w:rPr>
              <w:t>1.2</w:t>
            </w:r>
            <w:r w:rsidR="006E2592">
              <w:rPr>
                <w:rFonts w:eastAsiaTheme="minorEastAsia"/>
                <w:noProof/>
                <w:lang w:val="nl-BE" w:eastAsia="nl-BE"/>
              </w:rPr>
              <w:tab/>
            </w:r>
            <w:r w:rsidR="006E2592" w:rsidRPr="00B63241">
              <w:rPr>
                <w:rStyle w:val="Hyperlink"/>
                <w:noProof/>
              </w:rPr>
              <w:t>The European Semester</w:t>
            </w:r>
            <w:r w:rsidR="006E2592">
              <w:rPr>
                <w:noProof/>
                <w:webHidden/>
              </w:rPr>
              <w:tab/>
            </w:r>
            <w:r w:rsidR="006E2592">
              <w:rPr>
                <w:noProof/>
                <w:webHidden/>
              </w:rPr>
              <w:fldChar w:fldCharType="begin"/>
            </w:r>
            <w:r w:rsidR="006E2592">
              <w:rPr>
                <w:noProof/>
                <w:webHidden/>
              </w:rPr>
              <w:instrText xml:space="preserve"> PAGEREF _Toc444869827 \h </w:instrText>
            </w:r>
            <w:r w:rsidR="006E2592">
              <w:rPr>
                <w:noProof/>
                <w:webHidden/>
              </w:rPr>
            </w:r>
            <w:r w:rsidR="006E2592">
              <w:rPr>
                <w:noProof/>
                <w:webHidden/>
              </w:rPr>
              <w:fldChar w:fldCharType="separate"/>
            </w:r>
            <w:r w:rsidR="006E2592">
              <w:rPr>
                <w:noProof/>
                <w:webHidden/>
              </w:rPr>
              <w:t>3</w:t>
            </w:r>
            <w:r w:rsidR="006E2592">
              <w:rPr>
                <w:noProof/>
                <w:webHidden/>
              </w:rPr>
              <w:fldChar w:fldCharType="end"/>
            </w:r>
          </w:hyperlink>
        </w:p>
        <w:p w14:paraId="7BEB39FD" w14:textId="77777777" w:rsidR="006E2592" w:rsidRDefault="0069572D">
          <w:pPr>
            <w:pStyle w:val="Inhopg2"/>
            <w:tabs>
              <w:tab w:val="left" w:pos="880"/>
              <w:tab w:val="right" w:leader="dot" w:pos="9062"/>
            </w:tabs>
            <w:rPr>
              <w:rFonts w:eastAsiaTheme="minorEastAsia"/>
              <w:noProof/>
              <w:lang w:val="nl-BE" w:eastAsia="nl-BE"/>
            </w:rPr>
          </w:pPr>
          <w:hyperlink w:anchor="_Toc444869828" w:history="1">
            <w:r w:rsidR="006E2592" w:rsidRPr="00B63241">
              <w:rPr>
                <w:rStyle w:val="Hyperlink"/>
                <w:noProof/>
              </w:rPr>
              <w:t>1.3</w:t>
            </w:r>
            <w:r w:rsidR="006E2592">
              <w:rPr>
                <w:rFonts w:eastAsiaTheme="minorEastAsia"/>
                <w:noProof/>
                <w:lang w:val="nl-BE" w:eastAsia="nl-BE"/>
              </w:rPr>
              <w:tab/>
            </w:r>
            <w:r w:rsidR="006E2592" w:rsidRPr="00B63241">
              <w:rPr>
                <w:rStyle w:val="Hyperlink"/>
                <w:noProof/>
              </w:rPr>
              <w:t>Presidencies of the EU</w:t>
            </w:r>
            <w:r w:rsidR="006E2592">
              <w:rPr>
                <w:noProof/>
                <w:webHidden/>
              </w:rPr>
              <w:tab/>
            </w:r>
            <w:r w:rsidR="006E2592">
              <w:rPr>
                <w:noProof/>
                <w:webHidden/>
              </w:rPr>
              <w:fldChar w:fldCharType="begin"/>
            </w:r>
            <w:r w:rsidR="006E2592">
              <w:rPr>
                <w:noProof/>
                <w:webHidden/>
              </w:rPr>
              <w:instrText xml:space="preserve"> PAGEREF _Toc444869828 \h </w:instrText>
            </w:r>
            <w:r w:rsidR="006E2592">
              <w:rPr>
                <w:noProof/>
                <w:webHidden/>
              </w:rPr>
            </w:r>
            <w:r w:rsidR="006E2592">
              <w:rPr>
                <w:noProof/>
                <w:webHidden/>
              </w:rPr>
              <w:fldChar w:fldCharType="separate"/>
            </w:r>
            <w:r w:rsidR="006E2592">
              <w:rPr>
                <w:noProof/>
                <w:webHidden/>
              </w:rPr>
              <w:t>4</w:t>
            </w:r>
            <w:r w:rsidR="006E2592">
              <w:rPr>
                <w:noProof/>
                <w:webHidden/>
              </w:rPr>
              <w:fldChar w:fldCharType="end"/>
            </w:r>
          </w:hyperlink>
        </w:p>
        <w:p w14:paraId="0A1C9D05" w14:textId="77777777" w:rsidR="006E2592" w:rsidRDefault="0069572D">
          <w:pPr>
            <w:pStyle w:val="Inhopg3"/>
            <w:tabs>
              <w:tab w:val="left" w:pos="1320"/>
              <w:tab w:val="right" w:leader="dot" w:pos="9062"/>
            </w:tabs>
            <w:rPr>
              <w:rFonts w:eastAsiaTheme="minorEastAsia"/>
              <w:noProof/>
              <w:lang w:val="nl-BE" w:eastAsia="nl-BE"/>
            </w:rPr>
          </w:pPr>
          <w:hyperlink w:anchor="_Toc444869829" w:history="1">
            <w:r w:rsidR="006E2592" w:rsidRPr="00B63241">
              <w:rPr>
                <w:rStyle w:val="Hyperlink"/>
                <w:noProof/>
              </w:rPr>
              <w:t>1.3.1</w:t>
            </w:r>
            <w:r w:rsidR="006E2592">
              <w:rPr>
                <w:rFonts w:eastAsiaTheme="minorEastAsia"/>
                <w:noProof/>
                <w:lang w:val="nl-BE" w:eastAsia="nl-BE"/>
              </w:rPr>
              <w:tab/>
            </w:r>
            <w:r w:rsidR="006E2592" w:rsidRPr="00B63241">
              <w:rPr>
                <w:rStyle w:val="Hyperlink"/>
                <w:noProof/>
              </w:rPr>
              <w:t>The Luxembourg Presidency of the EU</w:t>
            </w:r>
            <w:r w:rsidR="006E2592">
              <w:rPr>
                <w:noProof/>
                <w:webHidden/>
              </w:rPr>
              <w:tab/>
            </w:r>
            <w:r w:rsidR="006E2592">
              <w:rPr>
                <w:noProof/>
                <w:webHidden/>
              </w:rPr>
              <w:fldChar w:fldCharType="begin"/>
            </w:r>
            <w:r w:rsidR="006E2592">
              <w:rPr>
                <w:noProof/>
                <w:webHidden/>
              </w:rPr>
              <w:instrText xml:space="preserve"> PAGEREF _Toc444869829 \h </w:instrText>
            </w:r>
            <w:r w:rsidR="006E2592">
              <w:rPr>
                <w:noProof/>
                <w:webHidden/>
              </w:rPr>
            </w:r>
            <w:r w:rsidR="006E2592">
              <w:rPr>
                <w:noProof/>
                <w:webHidden/>
              </w:rPr>
              <w:fldChar w:fldCharType="separate"/>
            </w:r>
            <w:r w:rsidR="006E2592">
              <w:rPr>
                <w:noProof/>
                <w:webHidden/>
              </w:rPr>
              <w:t>4</w:t>
            </w:r>
            <w:r w:rsidR="006E2592">
              <w:rPr>
                <w:noProof/>
                <w:webHidden/>
              </w:rPr>
              <w:fldChar w:fldCharType="end"/>
            </w:r>
          </w:hyperlink>
        </w:p>
        <w:p w14:paraId="06C070E8" w14:textId="77777777" w:rsidR="006E2592" w:rsidRDefault="0069572D">
          <w:pPr>
            <w:pStyle w:val="Inhopg3"/>
            <w:tabs>
              <w:tab w:val="left" w:pos="1320"/>
              <w:tab w:val="right" w:leader="dot" w:pos="9062"/>
            </w:tabs>
            <w:rPr>
              <w:rFonts w:eastAsiaTheme="minorEastAsia"/>
              <w:noProof/>
              <w:lang w:val="nl-BE" w:eastAsia="nl-BE"/>
            </w:rPr>
          </w:pPr>
          <w:hyperlink w:anchor="_Toc444869830" w:history="1">
            <w:r w:rsidR="006E2592" w:rsidRPr="00B63241">
              <w:rPr>
                <w:rStyle w:val="Hyperlink"/>
                <w:noProof/>
              </w:rPr>
              <w:t>1.3.2</w:t>
            </w:r>
            <w:r w:rsidR="006E2592">
              <w:rPr>
                <w:rFonts w:eastAsiaTheme="minorEastAsia"/>
                <w:noProof/>
                <w:lang w:val="nl-BE" w:eastAsia="nl-BE"/>
              </w:rPr>
              <w:tab/>
            </w:r>
            <w:r w:rsidR="006E2592" w:rsidRPr="00B63241">
              <w:rPr>
                <w:rStyle w:val="Hyperlink"/>
                <w:noProof/>
              </w:rPr>
              <w:t>The Dutch Presidency of the EU</w:t>
            </w:r>
            <w:r w:rsidR="006E2592">
              <w:rPr>
                <w:noProof/>
                <w:webHidden/>
              </w:rPr>
              <w:tab/>
            </w:r>
            <w:r w:rsidR="006E2592">
              <w:rPr>
                <w:noProof/>
                <w:webHidden/>
              </w:rPr>
              <w:fldChar w:fldCharType="begin"/>
            </w:r>
            <w:r w:rsidR="006E2592">
              <w:rPr>
                <w:noProof/>
                <w:webHidden/>
              </w:rPr>
              <w:instrText xml:space="preserve"> PAGEREF _Toc444869830 \h </w:instrText>
            </w:r>
            <w:r w:rsidR="006E2592">
              <w:rPr>
                <w:noProof/>
                <w:webHidden/>
              </w:rPr>
            </w:r>
            <w:r w:rsidR="006E2592">
              <w:rPr>
                <w:noProof/>
                <w:webHidden/>
              </w:rPr>
              <w:fldChar w:fldCharType="separate"/>
            </w:r>
            <w:r w:rsidR="006E2592">
              <w:rPr>
                <w:noProof/>
                <w:webHidden/>
              </w:rPr>
              <w:t>4</w:t>
            </w:r>
            <w:r w:rsidR="006E2592">
              <w:rPr>
                <w:noProof/>
                <w:webHidden/>
              </w:rPr>
              <w:fldChar w:fldCharType="end"/>
            </w:r>
          </w:hyperlink>
        </w:p>
        <w:p w14:paraId="1FB82E94" w14:textId="77777777" w:rsidR="006E2592" w:rsidRDefault="0069572D">
          <w:pPr>
            <w:pStyle w:val="Inhopg1"/>
            <w:tabs>
              <w:tab w:val="left" w:pos="440"/>
              <w:tab w:val="right" w:leader="dot" w:pos="9062"/>
            </w:tabs>
            <w:rPr>
              <w:rFonts w:eastAsiaTheme="minorEastAsia"/>
              <w:noProof/>
              <w:lang w:val="nl-BE" w:eastAsia="nl-BE"/>
            </w:rPr>
          </w:pPr>
          <w:hyperlink w:anchor="_Toc444869831" w:history="1">
            <w:r w:rsidR="006E2592" w:rsidRPr="00B63241">
              <w:rPr>
                <w:rStyle w:val="Hyperlink"/>
                <w:rFonts w:eastAsia="Times New Roman"/>
                <w:noProof/>
              </w:rPr>
              <w:t>2</w:t>
            </w:r>
            <w:r w:rsidR="006E2592">
              <w:rPr>
                <w:rFonts w:eastAsiaTheme="minorEastAsia"/>
                <w:noProof/>
                <w:lang w:val="nl-BE" w:eastAsia="nl-BE"/>
              </w:rPr>
              <w:tab/>
            </w:r>
            <w:r w:rsidR="006E2592" w:rsidRPr="00B63241">
              <w:rPr>
                <w:rStyle w:val="Hyperlink"/>
                <w:rFonts w:eastAsia="Times New Roman"/>
                <w:noProof/>
              </w:rPr>
              <w:t>Education and training</w:t>
            </w:r>
            <w:r w:rsidR="006E2592">
              <w:rPr>
                <w:noProof/>
                <w:webHidden/>
              </w:rPr>
              <w:tab/>
            </w:r>
            <w:r w:rsidR="006E2592">
              <w:rPr>
                <w:noProof/>
                <w:webHidden/>
              </w:rPr>
              <w:fldChar w:fldCharType="begin"/>
            </w:r>
            <w:r w:rsidR="006E2592">
              <w:rPr>
                <w:noProof/>
                <w:webHidden/>
              </w:rPr>
              <w:instrText xml:space="preserve"> PAGEREF _Toc444869831 \h </w:instrText>
            </w:r>
            <w:r w:rsidR="006E2592">
              <w:rPr>
                <w:noProof/>
                <w:webHidden/>
              </w:rPr>
            </w:r>
            <w:r w:rsidR="006E2592">
              <w:rPr>
                <w:noProof/>
                <w:webHidden/>
              </w:rPr>
              <w:fldChar w:fldCharType="separate"/>
            </w:r>
            <w:r w:rsidR="006E2592">
              <w:rPr>
                <w:noProof/>
                <w:webHidden/>
              </w:rPr>
              <w:t>6</w:t>
            </w:r>
            <w:r w:rsidR="006E2592">
              <w:rPr>
                <w:noProof/>
                <w:webHidden/>
              </w:rPr>
              <w:fldChar w:fldCharType="end"/>
            </w:r>
          </w:hyperlink>
        </w:p>
        <w:p w14:paraId="77DFA360" w14:textId="77777777" w:rsidR="006E2592" w:rsidRDefault="0069572D">
          <w:pPr>
            <w:pStyle w:val="Inhopg2"/>
            <w:tabs>
              <w:tab w:val="left" w:pos="880"/>
              <w:tab w:val="right" w:leader="dot" w:pos="9062"/>
            </w:tabs>
            <w:rPr>
              <w:rFonts w:eastAsiaTheme="minorEastAsia"/>
              <w:noProof/>
              <w:lang w:val="nl-BE" w:eastAsia="nl-BE"/>
            </w:rPr>
          </w:pPr>
          <w:hyperlink w:anchor="_Toc444869832" w:history="1">
            <w:r w:rsidR="006E2592" w:rsidRPr="00B63241">
              <w:rPr>
                <w:rStyle w:val="Hyperlink"/>
                <w:noProof/>
              </w:rPr>
              <w:t>2.1</w:t>
            </w:r>
            <w:r w:rsidR="006E2592">
              <w:rPr>
                <w:rFonts w:eastAsiaTheme="minorEastAsia"/>
                <w:noProof/>
                <w:lang w:val="nl-BE" w:eastAsia="nl-BE"/>
              </w:rPr>
              <w:tab/>
            </w:r>
            <w:r w:rsidR="006E2592" w:rsidRPr="00B63241">
              <w:rPr>
                <w:rStyle w:val="Hyperlink"/>
                <w:noProof/>
              </w:rPr>
              <w:t>Council meetings</w:t>
            </w:r>
            <w:r w:rsidR="006E2592">
              <w:rPr>
                <w:noProof/>
                <w:webHidden/>
              </w:rPr>
              <w:tab/>
            </w:r>
            <w:r w:rsidR="006E2592">
              <w:rPr>
                <w:noProof/>
                <w:webHidden/>
              </w:rPr>
              <w:fldChar w:fldCharType="begin"/>
            </w:r>
            <w:r w:rsidR="006E2592">
              <w:rPr>
                <w:noProof/>
                <w:webHidden/>
              </w:rPr>
              <w:instrText xml:space="preserve"> PAGEREF _Toc444869832 \h </w:instrText>
            </w:r>
            <w:r w:rsidR="006E2592">
              <w:rPr>
                <w:noProof/>
                <w:webHidden/>
              </w:rPr>
            </w:r>
            <w:r w:rsidR="006E2592">
              <w:rPr>
                <w:noProof/>
                <w:webHidden/>
              </w:rPr>
              <w:fldChar w:fldCharType="separate"/>
            </w:r>
            <w:r w:rsidR="006E2592">
              <w:rPr>
                <w:noProof/>
                <w:webHidden/>
              </w:rPr>
              <w:t>6</w:t>
            </w:r>
            <w:r w:rsidR="006E2592">
              <w:rPr>
                <w:noProof/>
                <w:webHidden/>
              </w:rPr>
              <w:fldChar w:fldCharType="end"/>
            </w:r>
          </w:hyperlink>
        </w:p>
        <w:p w14:paraId="598BA23E" w14:textId="77777777" w:rsidR="006E2592" w:rsidRDefault="0069572D">
          <w:pPr>
            <w:pStyle w:val="Inhopg3"/>
            <w:tabs>
              <w:tab w:val="left" w:pos="1320"/>
              <w:tab w:val="right" w:leader="dot" w:pos="9062"/>
            </w:tabs>
            <w:rPr>
              <w:rFonts w:eastAsiaTheme="minorEastAsia"/>
              <w:noProof/>
              <w:lang w:val="nl-BE" w:eastAsia="nl-BE"/>
            </w:rPr>
          </w:pPr>
          <w:hyperlink w:anchor="_Toc444869833" w:history="1">
            <w:r w:rsidR="006E2592" w:rsidRPr="00B63241">
              <w:rPr>
                <w:rStyle w:val="Hyperlink"/>
                <w:noProof/>
              </w:rPr>
              <w:t>2.1.1</w:t>
            </w:r>
            <w:r w:rsidR="006E2592">
              <w:rPr>
                <w:rFonts w:eastAsiaTheme="minorEastAsia"/>
                <w:noProof/>
                <w:lang w:val="nl-BE" w:eastAsia="nl-BE"/>
              </w:rPr>
              <w:tab/>
            </w:r>
            <w:r w:rsidR="006E2592" w:rsidRPr="00B63241">
              <w:rPr>
                <w:rStyle w:val="Hyperlink"/>
                <w:noProof/>
              </w:rPr>
              <w:t>Education, Youth, Culture and Sport Council November 2015</w:t>
            </w:r>
            <w:r w:rsidR="006E2592">
              <w:rPr>
                <w:noProof/>
                <w:webHidden/>
              </w:rPr>
              <w:tab/>
            </w:r>
            <w:r w:rsidR="006E2592">
              <w:rPr>
                <w:noProof/>
                <w:webHidden/>
              </w:rPr>
              <w:fldChar w:fldCharType="begin"/>
            </w:r>
            <w:r w:rsidR="006E2592">
              <w:rPr>
                <w:noProof/>
                <w:webHidden/>
              </w:rPr>
              <w:instrText xml:space="preserve"> PAGEREF _Toc444869833 \h </w:instrText>
            </w:r>
            <w:r w:rsidR="006E2592">
              <w:rPr>
                <w:noProof/>
                <w:webHidden/>
              </w:rPr>
            </w:r>
            <w:r w:rsidR="006E2592">
              <w:rPr>
                <w:noProof/>
                <w:webHidden/>
              </w:rPr>
              <w:fldChar w:fldCharType="separate"/>
            </w:r>
            <w:r w:rsidR="006E2592">
              <w:rPr>
                <w:noProof/>
                <w:webHidden/>
              </w:rPr>
              <w:t>6</w:t>
            </w:r>
            <w:r w:rsidR="006E2592">
              <w:rPr>
                <w:noProof/>
                <w:webHidden/>
              </w:rPr>
              <w:fldChar w:fldCharType="end"/>
            </w:r>
          </w:hyperlink>
        </w:p>
        <w:p w14:paraId="5CDC14D7" w14:textId="77777777" w:rsidR="006E2592" w:rsidRDefault="0069572D">
          <w:pPr>
            <w:pStyle w:val="Inhopg3"/>
            <w:tabs>
              <w:tab w:val="left" w:pos="1320"/>
              <w:tab w:val="right" w:leader="dot" w:pos="9062"/>
            </w:tabs>
            <w:rPr>
              <w:rFonts w:eastAsiaTheme="minorEastAsia"/>
              <w:noProof/>
              <w:lang w:val="nl-BE" w:eastAsia="nl-BE"/>
            </w:rPr>
          </w:pPr>
          <w:hyperlink w:anchor="_Toc444869834" w:history="1">
            <w:r w:rsidR="006E2592" w:rsidRPr="00B63241">
              <w:rPr>
                <w:rStyle w:val="Hyperlink"/>
                <w:noProof/>
              </w:rPr>
              <w:t>2.1.2</w:t>
            </w:r>
            <w:r w:rsidR="006E2592">
              <w:rPr>
                <w:rFonts w:eastAsiaTheme="minorEastAsia"/>
                <w:noProof/>
                <w:lang w:val="nl-BE" w:eastAsia="nl-BE"/>
              </w:rPr>
              <w:tab/>
            </w:r>
            <w:r w:rsidR="006E2592" w:rsidRPr="00B63241">
              <w:rPr>
                <w:rStyle w:val="Hyperlink"/>
                <w:noProof/>
              </w:rPr>
              <w:t>Education, Youth, Culture and Sport Council February 2016</w:t>
            </w:r>
            <w:r w:rsidR="006E2592">
              <w:rPr>
                <w:noProof/>
                <w:webHidden/>
              </w:rPr>
              <w:tab/>
            </w:r>
            <w:r w:rsidR="006E2592">
              <w:rPr>
                <w:noProof/>
                <w:webHidden/>
              </w:rPr>
              <w:fldChar w:fldCharType="begin"/>
            </w:r>
            <w:r w:rsidR="006E2592">
              <w:rPr>
                <w:noProof/>
                <w:webHidden/>
              </w:rPr>
              <w:instrText xml:space="preserve"> PAGEREF _Toc444869834 \h </w:instrText>
            </w:r>
            <w:r w:rsidR="006E2592">
              <w:rPr>
                <w:noProof/>
                <w:webHidden/>
              </w:rPr>
            </w:r>
            <w:r w:rsidR="006E2592">
              <w:rPr>
                <w:noProof/>
                <w:webHidden/>
              </w:rPr>
              <w:fldChar w:fldCharType="separate"/>
            </w:r>
            <w:r w:rsidR="006E2592">
              <w:rPr>
                <w:noProof/>
                <w:webHidden/>
              </w:rPr>
              <w:t>7</w:t>
            </w:r>
            <w:r w:rsidR="006E2592">
              <w:rPr>
                <w:noProof/>
                <w:webHidden/>
              </w:rPr>
              <w:fldChar w:fldCharType="end"/>
            </w:r>
          </w:hyperlink>
        </w:p>
        <w:p w14:paraId="021860AA" w14:textId="77777777" w:rsidR="006E2592" w:rsidRDefault="0069572D">
          <w:pPr>
            <w:pStyle w:val="Inhopg2"/>
            <w:tabs>
              <w:tab w:val="left" w:pos="880"/>
              <w:tab w:val="right" w:leader="dot" w:pos="9062"/>
            </w:tabs>
            <w:rPr>
              <w:rFonts w:eastAsiaTheme="minorEastAsia"/>
              <w:noProof/>
              <w:lang w:val="nl-BE" w:eastAsia="nl-BE"/>
            </w:rPr>
          </w:pPr>
          <w:hyperlink w:anchor="_Toc444869835" w:history="1">
            <w:r w:rsidR="006E2592" w:rsidRPr="00B63241">
              <w:rPr>
                <w:rStyle w:val="Hyperlink"/>
                <w:noProof/>
              </w:rPr>
              <w:t>2.2</w:t>
            </w:r>
            <w:r w:rsidR="006E2592">
              <w:rPr>
                <w:rFonts w:eastAsiaTheme="minorEastAsia"/>
                <w:noProof/>
                <w:lang w:val="nl-BE" w:eastAsia="nl-BE"/>
              </w:rPr>
              <w:tab/>
            </w:r>
            <w:r w:rsidR="006E2592" w:rsidRPr="00B63241">
              <w:rPr>
                <w:rStyle w:val="Hyperlink"/>
                <w:noProof/>
              </w:rPr>
              <w:t>Joint Report on the implementation of the Strategic Framework for European cooperation in Education and Training (ET 2020)</w:t>
            </w:r>
            <w:r w:rsidR="006E2592">
              <w:rPr>
                <w:noProof/>
                <w:webHidden/>
              </w:rPr>
              <w:tab/>
            </w:r>
            <w:r w:rsidR="006E2592">
              <w:rPr>
                <w:noProof/>
                <w:webHidden/>
              </w:rPr>
              <w:fldChar w:fldCharType="begin"/>
            </w:r>
            <w:r w:rsidR="006E2592">
              <w:rPr>
                <w:noProof/>
                <w:webHidden/>
              </w:rPr>
              <w:instrText xml:space="preserve"> PAGEREF _Toc444869835 \h </w:instrText>
            </w:r>
            <w:r w:rsidR="006E2592">
              <w:rPr>
                <w:noProof/>
                <w:webHidden/>
              </w:rPr>
            </w:r>
            <w:r w:rsidR="006E2592">
              <w:rPr>
                <w:noProof/>
                <w:webHidden/>
              </w:rPr>
              <w:fldChar w:fldCharType="separate"/>
            </w:r>
            <w:r w:rsidR="006E2592">
              <w:rPr>
                <w:noProof/>
                <w:webHidden/>
              </w:rPr>
              <w:t>8</w:t>
            </w:r>
            <w:r w:rsidR="006E2592">
              <w:rPr>
                <w:noProof/>
                <w:webHidden/>
              </w:rPr>
              <w:fldChar w:fldCharType="end"/>
            </w:r>
          </w:hyperlink>
        </w:p>
        <w:p w14:paraId="7C410417" w14:textId="77777777" w:rsidR="006E2592" w:rsidRDefault="0069572D">
          <w:pPr>
            <w:pStyle w:val="Inhopg2"/>
            <w:tabs>
              <w:tab w:val="left" w:pos="880"/>
              <w:tab w:val="right" w:leader="dot" w:pos="9062"/>
            </w:tabs>
            <w:rPr>
              <w:rFonts w:eastAsiaTheme="minorEastAsia"/>
              <w:noProof/>
              <w:lang w:val="nl-BE" w:eastAsia="nl-BE"/>
            </w:rPr>
          </w:pPr>
          <w:hyperlink w:anchor="_Toc444869836" w:history="1">
            <w:r w:rsidR="006E2592" w:rsidRPr="00B63241">
              <w:rPr>
                <w:rStyle w:val="Hyperlink"/>
                <w:noProof/>
              </w:rPr>
              <w:t>2.3</w:t>
            </w:r>
            <w:r w:rsidR="006E2592">
              <w:rPr>
                <w:rFonts w:eastAsiaTheme="minorEastAsia"/>
                <w:noProof/>
                <w:lang w:val="nl-BE" w:eastAsia="nl-BE"/>
              </w:rPr>
              <w:tab/>
            </w:r>
            <w:r w:rsidR="006E2592" w:rsidRPr="00B63241">
              <w:rPr>
                <w:rStyle w:val="Hyperlink"/>
                <w:noProof/>
              </w:rPr>
              <w:t>Council Conclusions on reducing early school leaving</w:t>
            </w:r>
            <w:r w:rsidR="006E2592">
              <w:rPr>
                <w:noProof/>
                <w:webHidden/>
              </w:rPr>
              <w:tab/>
            </w:r>
            <w:r w:rsidR="006E2592">
              <w:rPr>
                <w:noProof/>
                <w:webHidden/>
              </w:rPr>
              <w:fldChar w:fldCharType="begin"/>
            </w:r>
            <w:r w:rsidR="006E2592">
              <w:rPr>
                <w:noProof/>
                <w:webHidden/>
              </w:rPr>
              <w:instrText xml:space="preserve"> PAGEREF _Toc444869836 \h </w:instrText>
            </w:r>
            <w:r w:rsidR="006E2592">
              <w:rPr>
                <w:noProof/>
                <w:webHidden/>
              </w:rPr>
            </w:r>
            <w:r w:rsidR="006E2592">
              <w:rPr>
                <w:noProof/>
                <w:webHidden/>
              </w:rPr>
              <w:fldChar w:fldCharType="separate"/>
            </w:r>
            <w:r w:rsidR="006E2592">
              <w:rPr>
                <w:noProof/>
                <w:webHidden/>
              </w:rPr>
              <w:t>8</w:t>
            </w:r>
            <w:r w:rsidR="006E2592">
              <w:rPr>
                <w:noProof/>
                <w:webHidden/>
              </w:rPr>
              <w:fldChar w:fldCharType="end"/>
            </w:r>
          </w:hyperlink>
        </w:p>
        <w:p w14:paraId="6546D83F" w14:textId="77777777" w:rsidR="006E2592" w:rsidRDefault="0069572D">
          <w:pPr>
            <w:pStyle w:val="Inhopg2"/>
            <w:tabs>
              <w:tab w:val="left" w:pos="880"/>
              <w:tab w:val="right" w:leader="dot" w:pos="9062"/>
            </w:tabs>
            <w:rPr>
              <w:rFonts w:eastAsiaTheme="minorEastAsia"/>
              <w:noProof/>
              <w:lang w:val="nl-BE" w:eastAsia="nl-BE"/>
            </w:rPr>
          </w:pPr>
          <w:hyperlink w:anchor="_Toc444869837" w:history="1">
            <w:r w:rsidR="006E2592" w:rsidRPr="00B63241">
              <w:rPr>
                <w:rStyle w:val="Hyperlink"/>
                <w:noProof/>
              </w:rPr>
              <w:t>2.4</w:t>
            </w:r>
            <w:r w:rsidR="006E2592">
              <w:rPr>
                <w:rFonts w:eastAsiaTheme="minorEastAsia"/>
                <w:noProof/>
                <w:lang w:val="nl-BE" w:eastAsia="nl-BE"/>
              </w:rPr>
              <w:tab/>
            </w:r>
            <w:r w:rsidR="006E2592" w:rsidRPr="00B63241">
              <w:rPr>
                <w:rStyle w:val="Hyperlink"/>
                <w:noProof/>
              </w:rPr>
              <w:t>Modernisation agenda for higher education</w:t>
            </w:r>
            <w:r w:rsidR="006E2592">
              <w:rPr>
                <w:noProof/>
                <w:webHidden/>
              </w:rPr>
              <w:tab/>
            </w:r>
            <w:r w:rsidR="006E2592">
              <w:rPr>
                <w:noProof/>
                <w:webHidden/>
              </w:rPr>
              <w:fldChar w:fldCharType="begin"/>
            </w:r>
            <w:r w:rsidR="006E2592">
              <w:rPr>
                <w:noProof/>
                <w:webHidden/>
              </w:rPr>
              <w:instrText xml:space="preserve"> PAGEREF _Toc444869837 \h </w:instrText>
            </w:r>
            <w:r w:rsidR="006E2592">
              <w:rPr>
                <w:noProof/>
                <w:webHidden/>
              </w:rPr>
            </w:r>
            <w:r w:rsidR="006E2592">
              <w:rPr>
                <w:noProof/>
                <w:webHidden/>
              </w:rPr>
              <w:fldChar w:fldCharType="separate"/>
            </w:r>
            <w:r w:rsidR="006E2592">
              <w:rPr>
                <w:noProof/>
                <w:webHidden/>
              </w:rPr>
              <w:t>8</w:t>
            </w:r>
            <w:r w:rsidR="006E2592">
              <w:rPr>
                <w:noProof/>
                <w:webHidden/>
              </w:rPr>
              <w:fldChar w:fldCharType="end"/>
            </w:r>
          </w:hyperlink>
        </w:p>
        <w:p w14:paraId="69E2DD66" w14:textId="77777777" w:rsidR="006E2592" w:rsidRDefault="0069572D">
          <w:pPr>
            <w:pStyle w:val="Inhopg2"/>
            <w:tabs>
              <w:tab w:val="left" w:pos="880"/>
              <w:tab w:val="right" w:leader="dot" w:pos="9062"/>
            </w:tabs>
            <w:rPr>
              <w:rFonts w:eastAsiaTheme="minorEastAsia"/>
              <w:noProof/>
              <w:lang w:val="nl-BE" w:eastAsia="nl-BE"/>
            </w:rPr>
          </w:pPr>
          <w:hyperlink w:anchor="_Toc444869838" w:history="1">
            <w:r w:rsidR="006E2592" w:rsidRPr="00B63241">
              <w:rPr>
                <w:rStyle w:val="Hyperlink"/>
                <w:noProof/>
              </w:rPr>
              <w:t>2.5</w:t>
            </w:r>
            <w:r w:rsidR="006E2592">
              <w:rPr>
                <w:rFonts w:eastAsiaTheme="minorEastAsia"/>
                <w:noProof/>
                <w:lang w:val="nl-BE" w:eastAsia="nl-BE"/>
              </w:rPr>
              <w:tab/>
            </w:r>
            <w:r w:rsidR="006E2592" w:rsidRPr="00B63241">
              <w:rPr>
                <w:rStyle w:val="Hyperlink"/>
                <w:noProof/>
              </w:rPr>
              <w:t>ET2020 Thematic Working Group on Schools’ Policy</w:t>
            </w:r>
            <w:r w:rsidR="006E2592">
              <w:rPr>
                <w:noProof/>
                <w:webHidden/>
              </w:rPr>
              <w:tab/>
            </w:r>
            <w:r w:rsidR="006E2592">
              <w:rPr>
                <w:noProof/>
                <w:webHidden/>
              </w:rPr>
              <w:fldChar w:fldCharType="begin"/>
            </w:r>
            <w:r w:rsidR="006E2592">
              <w:rPr>
                <w:noProof/>
                <w:webHidden/>
              </w:rPr>
              <w:instrText xml:space="preserve"> PAGEREF _Toc444869838 \h </w:instrText>
            </w:r>
            <w:r w:rsidR="006E2592">
              <w:rPr>
                <w:noProof/>
                <w:webHidden/>
              </w:rPr>
            </w:r>
            <w:r w:rsidR="006E2592">
              <w:rPr>
                <w:noProof/>
                <w:webHidden/>
              </w:rPr>
              <w:fldChar w:fldCharType="separate"/>
            </w:r>
            <w:r w:rsidR="006E2592">
              <w:rPr>
                <w:noProof/>
                <w:webHidden/>
              </w:rPr>
              <w:t>9</w:t>
            </w:r>
            <w:r w:rsidR="006E2592">
              <w:rPr>
                <w:noProof/>
                <w:webHidden/>
              </w:rPr>
              <w:fldChar w:fldCharType="end"/>
            </w:r>
          </w:hyperlink>
        </w:p>
        <w:p w14:paraId="3F547D34" w14:textId="77777777" w:rsidR="006E2592" w:rsidRDefault="0069572D">
          <w:pPr>
            <w:pStyle w:val="Inhopg3"/>
            <w:tabs>
              <w:tab w:val="left" w:pos="1320"/>
              <w:tab w:val="right" w:leader="dot" w:pos="9062"/>
            </w:tabs>
            <w:rPr>
              <w:rFonts w:eastAsiaTheme="minorEastAsia"/>
              <w:noProof/>
              <w:lang w:val="nl-BE" w:eastAsia="nl-BE"/>
            </w:rPr>
          </w:pPr>
          <w:hyperlink w:anchor="_Toc444869839" w:history="1">
            <w:r w:rsidR="006E2592" w:rsidRPr="00B63241">
              <w:rPr>
                <w:rStyle w:val="Hyperlink"/>
                <w:noProof/>
              </w:rPr>
              <w:t>2.5.1</w:t>
            </w:r>
            <w:r w:rsidR="006E2592">
              <w:rPr>
                <w:rFonts w:eastAsiaTheme="minorEastAsia"/>
                <w:noProof/>
                <w:lang w:val="nl-BE" w:eastAsia="nl-BE"/>
              </w:rPr>
              <w:tab/>
            </w:r>
            <w:r w:rsidR="006E2592" w:rsidRPr="00B63241">
              <w:rPr>
                <w:rStyle w:val="Hyperlink"/>
                <w:noProof/>
              </w:rPr>
              <w:t>A whole school approach to tackle early school leaving</w:t>
            </w:r>
            <w:r w:rsidR="006E2592">
              <w:rPr>
                <w:noProof/>
                <w:webHidden/>
              </w:rPr>
              <w:tab/>
            </w:r>
            <w:r w:rsidR="006E2592">
              <w:rPr>
                <w:noProof/>
                <w:webHidden/>
              </w:rPr>
              <w:fldChar w:fldCharType="begin"/>
            </w:r>
            <w:r w:rsidR="006E2592">
              <w:rPr>
                <w:noProof/>
                <w:webHidden/>
              </w:rPr>
              <w:instrText xml:space="preserve"> PAGEREF _Toc444869839 \h </w:instrText>
            </w:r>
            <w:r w:rsidR="006E2592">
              <w:rPr>
                <w:noProof/>
                <w:webHidden/>
              </w:rPr>
            </w:r>
            <w:r w:rsidR="006E2592">
              <w:rPr>
                <w:noProof/>
                <w:webHidden/>
              </w:rPr>
              <w:fldChar w:fldCharType="separate"/>
            </w:r>
            <w:r w:rsidR="006E2592">
              <w:rPr>
                <w:noProof/>
                <w:webHidden/>
              </w:rPr>
              <w:t>9</w:t>
            </w:r>
            <w:r w:rsidR="006E2592">
              <w:rPr>
                <w:noProof/>
                <w:webHidden/>
              </w:rPr>
              <w:fldChar w:fldCharType="end"/>
            </w:r>
          </w:hyperlink>
        </w:p>
        <w:p w14:paraId="275403FE" w14:textId="77777777" w:rsidR="006E2592" w:rsidRDefault="0069572D">
          <w:pPr>
            <w:pStyle w:val="Inhopg3"/>
            <w:tabs>
              <w:tab w:val="left" w:pos="1320"/>
              <w:tab w:val="right" w:leader="dot" w:pos="9062"/>
            </w:tabs>
            <w:rPr>
              <w:rFonts w:eastAsiaTheme="minorEastAsia"/>
              <w:noProof/>
              <w:lang w:val="nl-BE" w:eastAsia="nl-BE"/>
            </w:rPr>
          </w:pPr>
          <w:hyperlink w:anchor="_Toc444869840" w:history="1">
            <w:r w:rsidR="006E2592" w:rsidRPr="00B63241">
              <w:rPr>
                <w:rStyle w:val="Hyperlink"/>
                <w:noProof/>
              </w:rPr>
              <w:t>2.5.2</w:t>
            </w:r>
            <w:r w:rsidR="006E2592">
              <w:rPr>
                <w:rFonts w:eastAsiaTheme="minorEastAsia"/>
                <w:noProof/>
                <w:lang w:val="nl-BE" w:eastAsia="nl-BE"/>
              </w:rPr>
              <w:tab/>
            </w:r>
            <w:r w:rsidR="006E2592" w:rsidRPr="00B63241">
              <w:rPr>
                <w:rStyle w:val="Hyperlink"/>
                <w:noProof/>
              </w:rPr>
              <w:t>Shaping career-long perspectives on teaching. A guide on policies to improve initial teacher education.</w:t>
            </w:r>
            <w:r w:rsidR="006E2592">
              <w:rPr>
                <w:noProof/>
                <w:webHidden/>
              </w:rPr>
              <w:tab/>
            </w:r>
            <w:r w:rsidR="006E2592">
              <w:rPr>
                <w:noProof/>
                <w:webHidden/>
              </w:rPr>
              <w:fldChar w:fldCharType="begin"/>
            </w:r>
            <w:r w:rsidR="006E2592">
              <w:rPr>
                <w:noProof/>
                <w:webHidden/>
              </w:rPr>
              <w:instrText xml:space="preserve"> PAGEREF _Toc444869840 \h </w:instrText>
            </w:r>
            <w:r w:rsidR="006E2592">
              <w:rPr>
                <w:noProof/>
                <w:webHidden/>
              </w:rPr>
            </w:r>
            <w:r w:rsidR="006E2592">
              <w:rPr>
                <w:noProof/>
                <w:webHidden/>
              </w:rPr>
              <w:fldChar w:fldCharType="separate"/>
            </w:r>
            <w:r w:rsidR="006E2592">
              <w:rPr>
                <w:noProof/>
                <w:webHidden/>
              </w:rPr>
              <w:t>10</w:t>
            </w:r>
            <w:r w:rsidR="006E2592">
              <w:rPr>
                <w:noProof/>
                <w:webHidden/>
              </w:rPr>
              <w:fldChar w:fldCharType="end"/>
            </w:r>
          </w:hyperlink>
        </w:p>
        <w:p w14:paraId="5D29E16B" w14:textId="77777777" w:rsidR="006E2592" w:rsidRDefault="0069572D">
          <w:pPr>
            <w:pStyle w:val="Inhopg2"/>
            <w:tabs>
              <w:tab w:val="left" w:pos="880"/>
              <w:tab w:val="right" w:leader="dot" w:pos="9062"/>
            </w:tabs>
            <w:rPr>
              <w:rFonts w:eastAsiaTheme="minorEastAsia"/>
              <w:noProof/>
              <w:lang w:val="nl-BE" w:eastAsia="nl-BE"/>
            </w:rPr>
          </w:pPr>
          <w:hyperlink w:anchor="_Toc444869841" w:history="1">
            <w:r w:rsidR="006E2592" w:rsidRPr="00B63241">
              <w:rPr>
                <w:rStyle w:val="Hyperlink"/>
                <w:noProof/>
              </w:rPr>
              <w:t>2.6</w:t>
            </w:r>
            <w:r w:rsidR="006E2592">
              <w:rPr>
                <w:rFonts w:eastAsiaTheme="minorEastAsia"/>
                <w:noProof/>
                <w:lang w:val="nl-BE" w:eastAsia="nl-BE"/>
              </w:rPr>
              <w:tab/>
            </w:r>
            <w:r w:rsidR="006E2592" w:rsidRPr="00B63241">
              <w:rPr>
                <w:rStyle w:val="Hyperlink"/>
                <w:noProof/>
              </w:rPr>
              <w:t>Erasmus+ mid-term evaluation</w:t>
            </w:r>
            <w:r w:rsidR="006E2592">
              <w:rPr>
                <w:noProof/>
                <w:webHidden/>
              </w:rPr>
              <w:tab/>
            </w:r>
            <w:r w:rsidR="006E2592">
              <w:rPr>
                <w:noProof/>
                <w:webHidden/>
              </w:rPr>
              <w:fldChar w:fldCharType="begin"/>
            </w:r>
            <w:r w:rsidR="006E2592">
              <w:rPr>
                <w:noProof/>
                <w:webHidden/>
              </w:rPr>
              <w:instrText xml:space="preserve"> PAGEREF _Toc444869841 \h </w:instrText>
            </w:r>
            <w:r w:rsidR="006E2592">
              <w:rPr>
                <w:noProof/>
                <w:webHidden/>
              </w:rPr>
            </w:r>
            <w:r w:rsidR="006E2592">
              <w:rPr>
                <w:noProof/>
                <w:webHidden/>
              </w:rPr>
              <w:fldChar w:fldCharType="separate"/>
            </w:r>
            <w:r w:rsidR="006E2592">
              <w:rPr>
                <w:noProof/>
                <w:webHidden/>
              </w:rPr>
              <w:t>11</w:t>
            </w:r>
            <w:r w:rsidR="006E2592">
              <w:rPr>
                <w:noProof/>
                <w:webHidden/>
              </w:rPr>
              <w:fldChar w:fldCharType="end"/>
            </w:r>
          </w:hyperlink>
        </w:p>
        <w:p w14:paraId="2AB99DEA" w14:textId="77777777" w:rsidR="006E2592" w:rsidRDefault="0069572D">
          <w:pPr>
            <w:pStyle w:val="Inhopg2"/>
            <w:tabs>
              <w:tab w:val="left" w:pos="880"/>
              <w:tab w:val="right" w:leader="dot" w:pos="9062"/>
            </w:tabs>
            <w:rPr>
              <w:rFonts w:eastAsiaTheme="minorEastAsia"/>
              <w:noProof/>
              <w:lang w:val="nl-BE" w:eastAsia="nl-BE"/>
            </w:rPr>
          </w:pPr>
          <w:hyperlink w:anchor="_Toc444869842" w:history="1">
            <w:r w:rsidR="006E2592" w:rsidRPr="00B63241">
              <w:rPr>
                <w:rStyle w:val="Hyperlink"/>
                <w:noProof/>
              </w:rPr>
              <w:t>2.7</w:t>
            </w:r>
            <w:r w:rsidR="006E2592">
              <w:rPr>
                <w:rFonts w:eastAsiaTheme="minorEastAsia"/>
                <w:noProof/>
                <w:lang w:val="nl-BE" w:eastAsia="nl-BE"/>
              </w:rPr>
              <w:tab/>
            </w:r>
            <w:r w:rsidR="006E2592" w:rsidRPr="00B63241">
              <w:rPr>
                <w:rStyle w:val="Hyperlink"/>
                <w:noProof/>
              </w:rPr>
              <w:t>Council Resolution on promoting socio-economic development and inclusiveness in the EU through education</w:t>
            </w:r>
            <w:r w:rsidR="006E2592">
              <w:rPr>
                <w:noProof/>
                <w:webHidden/>
              </w:rPr>
              <w:tab/>
            </w:r>
            <w:r w:rsidR="006E2592">
              <w:rPr>
                <w:noProof/>
                <w:webHidden/>
              </w:rPr>
              <w:fldChar w:fldCharType="begin"/>
            </w:r>
            <w:r w:rsidR="006E2592">
              <w:rPr>
                <w:noProof/>
                <w:webHidden/>
              </w:rPr>
              <w:instrText xml:space="preserve"> PAGEREF _Toc444869842 \h </w:instrText>
            </w:r>
            <w:r w:rsidR="006E2592">
              <w:rPr>
                <w:noProof/>
                <w:webHidden/>
              </w:rPr>
            </w:r>
            <w:r w:rsidR="006E2592">
              <w:rPr>
                <w:noProof/>
                <w:webHidden/>
              </w:rPr>
              <w:fldChar w:fldCharType="separate"/>
            </w:r>
            <w:r w:rsidR="006E2592">
              <w:rPr>
                <w:noProof/>
                <w:webHidden/>
              </w:rPr>
              <w:t>11</w:t>
            </w:r>
            <w:r w:rsidR="006E2592">
              <w:rPr>
                <w:noProof/>
                <w:webHidden/>
              </w:rPr>
              <w:fldChar w:fldCharType="end"/>
            </w:r>
          </w:hyperlink>
        </w:p>
        <w:p w14:paraId="2DEBDDE5" w14:textId="77777777" w:rsidR="006E2592" w:rsidRDefault="0069572D">
          <w:pPr>
            <w:pStyle w:val="Inhopg2"/>
            <w:tabs>
              <w:tab w:val="left" w:pos="880"/>
              <w:tab w:val="right" w:leader="dot" w:pos="9062"/>
            </w:tabs>
            <w:rPr>
              <w:rFonts w:eastAsiaTheme="minorEastAsia"/>
              <w:noProof/>
              <w:lang w:val="nl-BE" w:eastAsia="nl-BE"/>
            </w:rPr>
          </w:pPr>
          <w:hyperlink w:anchor="_Toc444869843" w:history="1">
            <w:r w:rsidR="006E2592" w:rsidRPr="00B63241">
              <w:rPr>
                <w:rStyle w:val="Hyperlink"/>
                <w:noProof/>
              </w:rPr>
              <w:t>2.8</w:t>
            </w:r>
            <w:r w:rsidR="006E2592">
              <w:rPr>
                <w:rFonts w:eastAsiaTheme="minorEastAsia"/>
                <w:noProof/>
                <w:lang w:val="nl-BE" w:eastAsia="nl-BE"/>
              </w:rPr>
              <w:tab/>
            </w:r>
            <w:r w:rsidR="006E2592" w:rsidRPr="00B63241">
              <w:rPr>
                <w:rStyle w:val="Hyperlink"/>
                <w:noProof/>
              </w:rPr>
              <w:t>A new Skills Agenda for Europe</w:t>
            </w:r>
            <w:r w:rsidR="006E2592">
              <w:rPr>
                <w:noProof/>
                <w:webHidden/>
              </w:rPr>
              <w:tab/>
            </w:r>
            <w:r w:rsidR="006E2592">
              <w:rPr>
                <w:noProof/>
                <w:webHidden/>
              </w:rPr>
              <w:fldChar w:fldCharType="begin"/>
            </w:r>
            <w:r w:rsidR="006E2592">
              <w:rPr>
                <w:noProof/>
                <w:webHidden/>
              </w:rPr>
              <w:instrText xml:space="preserve"> PAGEREF _Toc444869843 \h </w:instrText>
            </w:r>
            <w:r w:rsidR="006E2592">
              <w:rPr>
                <w:noProof/>
                <w:webHidden/>
              </w:rPr>
            </w:r>
            <w:r w:rsidR="006E2592">
              <w:rPr>
                <w:noProof/>
                <w:webHidden/>
              </w:rPr>
              <w:fldChar w:fldCharType="separate"/>
            </w:r>
            <w:r w:rsidR="006E2592">
              <w:rPr>
                <w:noProof/>
                <w:webHidden/>
              </w:rPr>
              <w:t>12</w:t>
            </w:r>
            <w:r w:rsidR="006E2592">
              <w:rPr>
                <w:noProof/>
                <w:webHidden/>
              </w:rPr>
              <w:fldChar w:fldCharType="end"/>
            </w:r>
          </w:hyperlink>
        </w:p>
        <w:p w14:paraId="4CAC6365" w14:textId="77777777" w:rsidR="006E2592" w:rsidRDefault="0069572D">
          <w:pPr>
            <w:pStyle w:val="Inhopg3"/>
            <w:tabs>
              <w:tab w:val="left" w:pos="1320"/>
              <w:tab w:val="right" w:leader="dot" w:pos="9062"/>
            </w:tabs>
            <w:rPr>
              <w:rFonts w:eastAsiaTheme="minorEastAsia"/>
              <w:noProof/>
              <w:lang w:val="nl-BE" w:eastAsia="nl-BE"/>
            </w:rPr>
          </w:pPr>
          <w:hyperlink w:anchor="_Toc444869844" w:history="1">
            <w:r w:rsidR="006E2592" w:rsidRPr="00B63241">
              <w:rPr>
                <w:rStyle w:val="Hyperlink"/>
                <w:noProof/>
              </w:rPr>
              <w:t>2.8.1</w:t>
            </w:r>
            <w:r w:rsidR="006E2592">
              <w:rPr>
                <w:rFonts w:eastAsiaTheme="minorEastAsia"/>
                <w:noProof/>
                <w:lang w:val="nl-BE" w:eastAsia="nl-BE"/>
              </w:rPr>
              <w:tab/>
            </w:r>
            <w:r w:rsidR="006E2592" w:rsidRPr="00B63241">
              <w:rPr>
                <w:rStyle w:val="Hyperlink"/>
                <w:noProof/>
              </w:rPr>
              <w:t>Conference: Skills for a lifetime – towards a future proof VET</w:t>
            </w:r>
            <w:r w:rsidR="006E2592">
              <w:rPr>
                <w:noProof/>
                <w:webHidden/>
              </w:rPr>
              <w:tab/>
            </w:r>
            <w:r w:rsidR="006E2592">
              <w:rPr>
                <w:noProof/>
                <w:webHidden/>
              </w:rPr>
              <w:fldChar w:fldCharType="begin"/>
            </w:r>
            <w:r w:rsidR="006E2592">
              <w:rPr>
                <w:noProof/>
                <w:webHidden/>
              </w:rPr>
              <w:instrText xml:space="preserve"> PAGEREF _Toc444869844 \h </w:instrText>
            </w:r>
            <w:r w:rsidR="006E2592">
              <w:rPr>
                <w:noProof/>
                <w:webHidden/>
              </w:rPr>
            </w:r>
            <w:r w:rsidR="006E2592">
              <w:rPr>
                <w:noProof/>
                <w:webHidden/>
              </w:rPr>
              <w:fldChar w:fldCharType="separate"/>
            </w:r>
            <w:r w:rsidR="006E2592">
              <w:rPr>
                <w:noProof/>
                <w:webHidden/>
              </w:rPr>
              <w:t>12</w:t>
            </w:r>
            <w:r w:rsidR="006E2592">
              <w:rPr>
                <w:noProof/>
                <w:webHidden/>
              </w:rPr>
              <w:fldChar w:fldCharType="end"/>
            </w:r>
          </w:hyperlink>
        </w:p>
        <w:p w14:paraId="0C6E054B" w14:textId="77777777" w:rsidR="006E2592" w:rsidRDefault="0069572D">
          <w:pPr>
            <w:pStyle w:val="Inhopg3"/>
            <w:tabs>
              <w:tab w:val="left" w:pos="1320"/>
              <w:tab w:val="right" w:leader="dot" w:pos="9062"/>
            </w:tabs>
            <w:rPr>
              <w:rFonts w:eastAsiaTheme="minorEastAsia"/>
              <w:noProof/>
              <w:lang w:val="nl-BE" w:eastAsia="nl-BE"/>
            </w:rPr>
          </w:pPr>
          <w:hyperlink w:anchor="_Toc444869845" w:history="1">
            <w:r w:rsidR="006E2592" w:rsidRPr="00B63241">
              <w:rPr>
                <w:rStyle w:val="Hyperlink"/>
                <w:noProof/>
              </w:rPr>
              <w:t>2.8.2</w:t>
            </w:r>
            <w:r w:rsidR="006E2592">
              <w:rPr>
                <w:rFonts w:eastAsiaTheme="minorEastAsia"/>
                <w:noProof/>
                <w:lang w:val="nl-BE" w:eastAsia="nl-BE"/>
              </w:rPr>
              <w:tab/>
            </w:r>
            <w:r w:rsidR="006E2592" w:rsidRPr="00B63241">
              <w:rPr>
                <w:rStyle w:val="Hyperlink"/>
                <w:noProof/>
              </w:rPr>
              <w:t>Discussion during the Education, Youth, Sports and Culture Council</w:t>
            </w:r>
            <w:r w:rsidR="006E2592">
              <w:rPr>
                <w:noProof/>
                <w:webHidden/>
              </w:rPr>
              <w:tab/>
            </w:r>
            <w:r w:rsidR="006E2592">
              <w:rPr>
                <w:noProof/>
                <w:webHidden/>
              </w:rPr>
              <w:fldChar w:fldCharType="begin"/>
            </w:r>
            <w:r w:rsidR="006E2592">
              <w:rPr>
                <w:noProof/>
                <w:webHidden/>
              </w:rPr>
              <w:instrText xml:space="preserve"> PAGEREF _Toc444869845 \h </w:instrText>
            </w:r>
            <w:r w:rsidR="006E2592">
              <w:rPr>
                <w:noProof/>
                <w:webHidden/>
              </w:rPr>
            </w:r>
            <w:r w:rsidR="006E2592">
              <w:rPr>
                <w:noProof/>
                <w:webHidden/>
              </w:rPr>
              <w:fldChar w:fldCharType="separate"/>
            </w:r>
            <w:r w:rsidR="006E2592">
              <w:rPr>
                <w:noProof/>
                <w:webHidden/>
              </w:rPr>
              <w:t>13</w:t>
            </w:r>
            <w:r w:rsidR="006E2592">
              <w:rPr>
                <w:noProof/>
                <w:webHidden/>
              </w:rPr>
              <w:fldChar w:fldCharType="end"/>
            </w:r>
          </w:hyperlink>
        </w:p>
        <w:p w14:paraId="73CDBB6D" w14:textId="77777777" w:rsidR="006E2592" w:rsidRDefault="0069572D">
          <w:pPr>
            <w:pStyle w:val="Inhopg1"/>
            <w:tabs>
              <w:tab w:val="left" w:pos="440"/>
              <w:tab w:val="right" w:leader="dot" w:pos="9062"/>
            </w:tabs>
            <w:rPr>
              <w:rFonts w:eastAsiaTheme="minorEastAsia"/>
              <w:noProof/>
              <w:lang w:val="nl-BE" w:eastAsia="nl-BE"/>
            </w:rPr>
          </w:pPr>
          <w:hyperlink w:anchor="_Toc444869846" w:history="1">
            <w:r w:rsidR="006E2592" w:rsidRPr="00B63241">
              <w:rPr>
                <w:rStyle w:val="Hyperlink"/>
                <w:noProof/>
              </w:rPr>
              <w:t>3</w:t>
            </w:r>
            <w:r w:rsidR="006E2592">
              <w:rPr>
                <w:rFonts w:eastAsiaTheme="minorEastAsia"/>
                <w:noProof/>
                <w:lang w:val="nl-BE" w:eastAsia="nl-BE"/>
              </w:rPr>
              <w:tab/>
            </w:r>
            <w:r w:rsidR="006E2592" w:rsidRPr="00B63241">
              <w:rPr>
                <w:rStyle w:val="Hyperlink"/>
                <w:noProof/>
              </w:rPr>
              <w:t>Studies, conferences and tools</w:t>
            </w:r>
            <w:r w:rsidR="006E2592">
              <w:rPr>
                <w:noProof/>
                <w:webHidden/>
              </w:rPr>
              <w:tab/>
            </w:r>
            <w:r w:rsidR="006E2592">
              <w:rPr>
                <w:noProof/>
                <w:webHidden/>
              </w:rPr>
              <w:fldChar w:fldCharType="begin"/>
            </w:r>
            <w:r w:rsidR="006E2592">
              <w:rPr>
                <w:noProof/>
                <w:webHidden/>
              </w:rPr>
              <w:instrText xml:space="preserve"> PAGEREF _Toc444869846 \h </w:instrText>
            </w:r>
            <w:r w:rsidR="006E2592">
              <w:rPr>
                <w:noProof/>
                <w:webHidden/>
              </w:rPr>
            </w:r>
            <w:r w:rsidR="006E2592">
              <w:rPr>
                <w:noProof/>
                <w:webHidden/>
              </w:rPr>
              <w:fldChar w:fldCharType="separate"/>
            </w:r>
            <w:r w:rsidR="006E2592">
              <w:rPr>
                <w:noProof/>
                <w:webHidden/>
              </w:rPr>
              <w:t>13</w:t>
            </w:r>
            <w:r w:rsidR="006E2592">
              <w:rPr>
                <w:noProof/>
                <w:webHidden/>
              </w:rPr>
              <w:fldChar w:fldCharType="end"/>
            </w:r>
          </w:hyperlink>
        </w:p>
        <w:p w14:paraId="369C32BE" w14:textId="77777777" w:rsidR="006E2592" w:rsidRDefault="0069572D">
          <w:pPr>
            <w:pStyle w:val="Inhopg2"/>
            <w:tabs>
              <w:tab w:val="left" w:pos="880"/>
              <w:tab w:val="right" w:leader="dot" w:pos="9062"/>
            </w:tabs>
            <w:rPr>
              <w:rFonts w:eastAsiaTheme="minorEastAsia"/>
              <w:noProof/>
              <w:lang w:val="nl-BE" w:eastAsia="nl-BE"/>
            </w:rPr>
          </w:pPr>
          <w:hyperlink w:anchor="_Toc444869847" w:history="1">
            <w:r w:rsidR="006E2592" w:rsidRPr="00B63241">
              <w:rPr>
                <w:rStyle w:val="Hyperlink"/>
                <w:noProof/>
              </w:rPr>
              <w:t>3.1</w:t>
            </w:r>
            <w:r w:rsidR="006E2592">
              <w:rPr>
                <w:rFonts w:eastAsiaTheme="minorEastAsia"/>
                <w:noProof/>
                <w:lang w:val="nl-BE" w:eastAsia="nl-BE"/>
              </w:rPr>
              <w:tab/>
            </w:r>
            <w:r w:rsidR="006E2592" w:rsidRPr="00B63241">
              <w:rPr>
                <w:rStyle w:val="Hyperlink"/>
                <w:noProof/>
              </w:rPr>
              <w:t>Education and Training Monitor 2015</w:t>
            </w:r>
            <w:r w:rsidR="006E2592">
              <w:rPr>
                <w:noProof/>
                <w:webHidden/>
              </w:rPr>
              <w:tab/>
            </w:r>
            <w:r w:rsidR="006E2592">
              <w:rPr>
                <w:noProof/>
                <w:webHidden/>
              </w:rPr>
              <w:fldChar w:fldCharType="begin"/>
            </w:r>
            <w:r w:rsidR="006E2592">
              <w:rPr>
                <w:noProof/>
                <w:webHidden/>
              </w:rPr>
              <w:instrText xml:space="preserve"> PAGEREF _Toc444869847 \h </w:instrText>
            </w:r>
            <w:r w:rsidR="006E2592">
              <w:rPr>
                <w:noProof/>
                <w:webHidden/>
              </w:rPr>
            </w:r>
            <w:r w:rsidR="006E2592">
              <w:rPr>
                <w:noProof/>
                <w:webHidden/>
              </w:rPr>
              <w:fldChar w:fldCharType="separate"/>
            </w:r>
            <w:r w:rsidR="006E2592">
              <w:rPr>
                <w:noProof/>
                <w:webHidden/>
              </w:rPr>
              <w:t>13</w:t>
            </w:r>
            <w:r w:rsidR="006E2592">
              <w:rPr>
                <w:noProof/>
                <w:webHidden/>
              </w:rPr>
              <w:fldChar w:fldCharType="end"/>
            </w:r>
          </w:hyperlink>
        </w:p>
        <w:p w14:paraId="21537D77" w14:textId="77777777" w:rsidR="006E2592" w:rsidRDefault="0069572D">
          <w:pPr>
            <w:pStyle w:val="Inhopg2"/>
            <w:tabs>
              <w:tab w:val="left" w:pos="880"/>
              <w:tab w:val="right" w:leader="dot" w:pos="9062"/>
            </w:tabs>
            <w:rPr>
              <w:rFonts w:eastAsiaTheme="minorEastAsia"/>
              <w:noProof/>
              <w:lang w:val="nl-BE" w:eastAsia="nl-BE"/>
            </w:rPr>
          </w:pPr>
          <w:hyperlink w:anchor="_Toc444869848" w:history="1">
            <w:r w:rsidR="006E2592" w:rsidRPr="00B63241">
              <w:rPr>
                <w:rStyle w:val="Hyperlink"/>
                <w:noProof/>
              </w:rPr>
              <w:t>3.2</w:t>
            </w:r>
            <w:r w:rsidR="006E2592">
              <w:rPr>
                <w:rFonts w:eastAsiaTheme="minorEastAsia"/>
                <w:noProof/>
                <w:lang w:val="nl-BE" w:eastAsia="nl-BE"/>
              </w:rPr>
              <w:tab/>
            </w:r>
            <w:r w:rsidR="006E2592" w:rsidRPr="00B63241">
              <w:rPr>
                <w:rStyle w:val="Hyperlink"/>
                <w:noProof/>
              </w:rPr>
              <w:t>Civil Society Day on the follow-up of the Paris Declaration</w:t>
            </w:r>
            <w:r w:rsidR="006E2592">
              <w:rPr>
                <w:noProof/>
                <w:webHidden/>
              </w:rPr>
              <w:tab/>
            </w:r>
            <w:r w:rsidR="006E2592">
              <w:rPr>
                <w:noProof/>
                <w:webHidden/>
              </w:rPr>
              <w:fldChar w:fldCharType="begin"/>
            </w:r>
            <w:r w:rsidR="006E2592">
              <w:rPr>
                <w:noProof/>
                <w:webHidden/>
              </w:rPr>
              <w:instrText xml:space="preserve"> PAGEREF _Toc444869848 \h </w:instrText>
            </w:r>
            <w:r w:rsidR="006E2592">
              <w:rPr>
                <w:noProof/>
                <w:webHidden/>
              </w:rPr>
            </w:r>
            <w:r w:rsidR="006E2592">
              <w:rPr>
                <w:noProof/>
                <w:webHidden/>
              </w:rPr>
              <w:fldChar w:fldCharType="separate"/>
            </w:r>
            <w:r w:rsidR="006E2592">
              <w:rPr>
                <w:noProof/>
                <w:webHidden/>
              </w:rPr>
              <w:t>14</w:t>
            </w:r>
            <w:r w:rsidR="006E2592">
              <w:rPr>
                <w:noProof/>
                <w:webHidden/>
              </w:rPr>
              <w:fldChar w:fldCharType="end"/>
            </w:r>
          </w:hyperlink>
        </w:p>
        <w:p w14:paraId="1B00FAED" w14:textId="77777777" w:rsidR="006E2592" w:rsidRDefault="0069572D">
          <w:pPr>
            <w:pStyle w:val="Inhopg2"/>
            <w:tabs>
              <w:tab w:val="left" w:pos="880"/>
              <w:tab w:val="right" w:leader="dot" w:pos="9062"/>
            </w:tabs>
            <w:rPr>
              <w:rFonts w:eastAsiaTheme="minorEastAsia"/>
              <w:noProof/>
              <w:lang w:val="nl-BE" w:eastAsia="nl-BE"/>
            </w:rPr>
          </w:pPr>
          <w:hyperlink w:anchor="_Toc444869849" w:history="1">
            <w:r w:rsidR="006E2592" w:rsidRPr="00B63241">
              <w:rPr>
                <w:rStyle w:val="Hyperlink"/>
                <w:noProof/>
              </w:rPr>
              <w:t>3.3</w:t>
            </w:r>
            <w:r w:rsidR="006E2592">
              <w:rPr>
                <w:rFonts w:eastAsiaTheme="minorEastAsia"/>
                <w:noProof/>
                <w:lang w:val="nl-BE" w:eastAsia="nl-BE"/>
              </w:rPr>
              <w:tab/>
            </w:r>
            <w:r w:rsidR="006E2592" w:rsidRPr="00B63241">
              <w:rPr>
                <w:rStyle w:val="Hyperlink"/>
                <w:noProof/>
              </w:rPr>
              <w:t>EU Skills Panorama</w:t>
            </w:r>
            <w:r w:rsidR="006E2592">
              <w:rPr>
                <w:noProof/>
                <w:webHidden/>
              </w:rPr>
              <w:tab/>
            </w:r>
            <w:r w:rsidR="006E2592">
              <w:rPr>
                <w:noProof/>
                <w:webHidden/>
              </w:rPr>
              <w:fldChar w:fldCharType="begin"/>
            </w:r>
            <w:r w:rsidR="006E2592">
              <w:rPr>
                <w:noProof/>
                <w:webHidden/>
              </w:rPr>
              <w:instrText xml:space="preserve"> PAGEREF _Toc444869849 \h </w:instrText>
            </w:r>
            <w:r w:rsidR="006E2592">
              <w:rPr>
                <w:noProof/>
                <w:webHidden/>
              </w:rPr>
            </w:r>
            <w:r w:rsidR="006E2592">
              <w:rPr>
                <w:noProof/>
                <w:webHidden/>
              </w:rPr>
              <w:fldChar w:fldCharType="separate"/>
            </w:r>
            <w:r w:rsidR="006E2592">
              <w:rPr>
                <w:noProof/>
                <w:webHidden/>
              </w:rPr>
              <w:t>14</w:t>
            </w:r>
            <w:r w:rsidR="006E2592">
              <w:rPr>
                <w:noProof/>
                <w:webHidden/>
              </w:rPr>
              <w:fldChar w:fldCharType="end"/>
            </w:r>
          </w:hyperlink>
        </w:p>
        <w:p w14:paraId="0FA70E86" w14:textId="77777777" w:rsidR="006E2592" w:rsidRDefault="0069572D">
          <w:pPr>
            <w:pStyle w:val="Inhopg2"/>
            <w:tabs>
              <w:tab w:val="left" w:pos="880"/>
              <w:tab w:val="right" w:leader="dot" w:pos="9062"/>
            </w:tabs>
            <w:rPr>
              <w:rFonts w:eastAsiaTheme="minorEastAsia"/>
              <w:noProof/>
              <w:lang w:val="nl-BE" w:eastAsia="nl-BE"/>
            </w:rPr>
          </w:pPr>
          <w:hyperlink w:anchor="_Toc444869850" w:history="1">
            <w:r w:rsidR="006E2592" w:rsidRPr="00B63241">
              <w:rPr>
                <w:rStyle w:val="Hyperlink"/>
                <w:noProof/>
              </w:rPr>
              <w:t>3.4</w:t>
            </w:r>
            <w:r w:rsidR="006E2592">
              <w:rPr>
                <w:rFonts w:eastAsiaTheme="minorEastAsia"/>
                <w:noProof/>
                <w:lang w:val="nl-BE" w:eastAsia="nl-BE"/>
              </w:rPr>
              <w:tab/>
            </w:r>
            <w:r w:rsidR="006E2592" w:rsidRPr="00B63241">
              <w:rPr>
                <w:rStyle w:val="Hyperlink"/>
                <w:noProof/>
              </w:rPr>
              <w:t>Internationalisation of higher education</w:t>
            </w:r>
            <w:r w:rsidR="006E2592">
              <w:rPr>
                <w:noProof/>
                <w:webHidden/>
              </w:rPr>
              <w:tab/>
            </w:r>
            <w:r w:rsidR="006E2592">
              <w:rPr>
                <w:noProof/>
                <w:webHidden/>
              </w:rPr>
              <w:fldChar w:fldCharType="begin"/>
            </w:r>
            <w:r w:rsidR="006E2592">
              <w:rPr>
                <w:noProof/>
                <w:webHidden/>
              </w:rPr>
              <w:instrText xml:space="preserve"> PAGEREF _Toc444869850 \h </w:instrText>
            </w:r>
            <w:r w:rsidR="006E2592">
              <w:rPr>
                <w:noProof/>
                <w:webHidden/>
              </w:rPr>
            </w:r>
            <w:r w:rsidR="006E2592">
              <w:rPr>
                <w:noProof/>
                <w:webHidden/>
              </w:rPr>
              <w:fldChar w:fldCharType="separate"/>
            </w:r>
            <w:r w:rsidR="006E2592">
              <w:rPr>
                <w:noProof/>
                <w:webHidden/>
              </w:rPr>
              <w:t>15</w:t>
            </w:r>
            <w:r w:rsidR="006E2592">
              <w:rPr>
                <w:noProof/>
                <w:webHidden/>
              </w:rPr>
              <w:fldChar w:fldCharType="end"/>
            </w:r>
          </w:hyperlink>
        </w:p>
        <w:p w14:paraId="16E4D58B" w14:textId="77777777" w:rsidR="006E2592" w:rsidRDefault="0069572D">
          <w:pPr>
            <w:pStyle w:val="Inhopg2"/>
            <w:tabs>
              <w:tab w:val="left" w:pos="880"/>
              <w:tab w:val="right" w:leader="dot" w:pos="9062"/>
            </w:tabs>
            <w:rPr>
              <w:rFonts w:eastAsiaTheme="minorEastAsia"/>
              <w:noProof/>
              <w:lang w:val="nl-BE" w:eastAsia="nl-BE"/>
            </w:rPr>
          </w:pPr>
          <w:hyperlink w:anchor="_Toc444869851" w:history="1">
            <w:r w:rsidR="006E2592" w:rsidRPr="00B63241">
              <w:rPr>
                <w:rStyle w:val="Hyperlink"/>
                <w:noProof/>
              </w:rPr>
              <w:t>3.5</w:t>
            </w:r>
            <w:r w:rsidR="006E2592">
              <w:rPr>
                <w:rFonts w:eastAsiaTheme="minorEastAsia"/>
                <w:noProof/>
                <w:lang w:val="nl-BE" w:eastAsia="nl-BE"/>
              </w:rPr>
              <w:tab/>
            </w:r>
            <w:r w:rsidR="006E2592" w:rsidRPr="00B63241">
              <w:rPr>
                <w:rStyle w:val="Hyperlink"/>
                <w:noProof/>
              </w:rPr>
              <w:t>Languages in secondary education</w:t>
            </w:r>
            <w:r w:rsidR="006E2592">
              <w:rPr>
                <w:noProof/>
                <w:webHidden/>
              </w:rPr>
              <w:tab/>
            </w:r>
            <w:r w:rsidR="006E2592">
              <w:rPr>
                <w:noProof/>
                <w:webHidden/>
              </w:rPr>
              <w:fldChar w:fldCharType="begin"/>
            </w:r>
            <w:r w:rsidR="006E2592">
              <w:rPr>
                <w:noProof/>
                <w:webHidden/>
              </w:rPr>
              <w:instrText xml:space="preserve"> PAGEREF _Toc444869851 \h </w:instrText>
            </w:r>
            <w:r w:rsidR="006E2592">
              <w:rPr>
                <w:noProof/>
                <w:webHidden/>
              </w:rPr>
            </w:r>
            <w:r w:rsidR="006E2592">
              <w:rPr>
                <w:noProof/>
                <w:webHidden/>
              </w:rPr>
              <w:fldChar w:fldCharType="separate"/>
            </w:r>
            <w:r w:rsidR="006E2592">
              <w:rPr>
                <w:noProof/>
                <w:webHidden/>
              </w:rPr>
              <w:t>16</w:t>
            </w:r>
            <w:r w:rsidR="006E2592">
              <w:rPr>
                <w:noProof/>
                <w:webHidden/>
              </w:rPr>
              <w:fldChar w:fldCharType="end"/>
            </w:r>
          </w:hyperlink>
        </w:p>
        <w:p w14:paraId="63E0E513" w14:textId="77777777" w:rsidR="006E2592" w:rsidRDefault="0069572D">
          <w:pPr>
            <w:pStyle w:val="Inhopg2"/>
            <w:tabs>
              <w:tab w:val="left" w:pos="880"/>
              <w:tab w:val="right" w:leader="dot" w:pos="9062"/>
            </w:tabs>
            <w:rPr>
              <w:rFonts w:eastAsiaTheme="minorEastAsia"/>
              <w:noProof/>
              <w:lang w:val="nl-BE" w:eastAsia="nl-BE"/>
            </w:rPr>
          </w:pPr>
          <w:hyperlink w:anchor="_Toc444869852" w:history="1">
            <w:r w:rsidR="006E2592" w:rsidRPr="00B63241">
              <w:rPr>
                <w:rStyle w:val="Hyperlink"/>
                <w:noProof/>
              </w:rPr>
              <w:t>3.6</w:t>
            </w:r>
            <w:r w:rsidR="006E2592">
              <w:rPr>
                <w:rFonts w:eastAsiaTheme="minorEastAsia"/>
                <w:noProof/>
                <w:lang w:val="nl-BE" w:eastAsia="nl-BE"/>
              </w:rPr>
              <w:tab/>
            </w:r>
            <w:r w:rsidR="006E2592" w:rsidRPr="00B63241">
              <w:rPr>
                <w:rStyle w:val="Hyperlink"/>
                <w:noProof/>
              </w:rPr>
              <w:t>Teachers' and School Heads' Salaries and Allowances in Europe – 2014/15</w:t>
            </w:r>
            <w:r w:rsidR="006E2592">
              <w:rPr>
                <w:noProof/>
                <w:webHidden/>
              </w:rPr>
              <w:tab/>
            </w:r>
            <w:r w:rsidR="006E2592">
              <w:rPr>
                <w:noProof/>
                <w:webHidden/>
              </w:rPr>
              <w:fldChar w:fldCharType="begin"/>
            </w:r>
            <w:r w:rsidR="006E2592">
              <w:rPr>
                <w:noProof/>
                <w:webHidden/>
              </w:rPr>
              <w:instrText xml:space="preserve"> PAGEREF _Toc444869852 \h </w:instrText>
            </w:r>
            <w:r w:rsidR="006E2592">
              <w:rPr>
                <w:noProof/>
                <w:webHidden/>
              </w:rPr>
            </w:r>
            <w:r w:rsidR="006E2592">
              <w:rPr>
                <w:noProof/>
                <w:webHidden/>
              </w:rPr>
              <w:fldChar w:fldCharType="separate"/>
            </w:r>
            <w:r w:rsidR="006E2592">
              <w:rPr>
                <w:noProof/>
                <w:webHidden/>
              </w:rPr>
              <w:t>16</w:t>
            </w:r>
            <w:r w:rsidR="006E2592">
              <w:rPr>
                <w:noProof/>
                <w:webHidden/>
              </w:rPr>
              <w:fldChar w:fldCharType="end"/>
            </w:r>
          </w:hyperlink>
        </w:p>
        <w:p w14:paraId="45C0F0DB" w14:textId="77777777" w:rsidR="006E2592" w:rsidRDefault="0069572D">
          <w:pPr>
            <w:pStyle w:val="Inhopg2"/>
            <w:tabs>
              <w:tab w:val="left" w:pos="880"/>
              <w:tab w:val="right" w:leader="dot" w:pos="9062"/>
            </w:tabs>
            <w:rPr>
              <w:rFonts w:eastAsiaTheme="minorEastAsia"/>
              <w:noProof/>
              <w:lang w:val="nl-BE" w:eastAsia="nl-BE"/>
            </w:rPr>
          </w:pPr>
          <w:hyperlink w:anchor="_Toc444869853" w:history="1">
            <w:r w:rsidR="006E2592" w:rsidRPr="00B63241">
              <w:rPr>
                <w:rStyle w:val="Hyperlink"/>
                <w:noProof/>
              </w:rPr>
              <w:t>3.7</w:t>
            </w:r>
            <w:r w:rsidR="006E2592">
              <w:rPr>
                <w:rFonts w:eastAsiaTheme="minorEastAsia"/>
                <w:noProof/>
                <w:lang w:val="nl-BE" w:eastAsia="nl-BE"/>
              </w:rPr>
              <w:tab/>
            </w:r>
            <w:r w:rsidR="006E2592" w:rsidRPr="00B63241">
              <w:rPr>
                <w:rStyle w:val="Hyperlink"/>
                <w:noProof/>
              </w:rPr>
              <w:t>National student fee and support systems in European higher education  2015/16</w:t>
            </w:r>
            <w:r w:rsidR="006E2592">
              <w:rPr>
                <w:noProof/>
                <w:webHidden/>
              </w:rPr>
              <w:tab/>
            </w:r>
            <w:r w:rsidR="006E2592">
              <w:rPr>
                <w:noProof/>
                <w:webHidden/>
              </w:rPr>
              <w:fldChar w:fldCharType="begin"/>
            </w:r>
            <w:r w:rsidR="006E2592">
              <w:rPr>
                <w:noProof/>
                <w:webHidden/>
              </w:rPr>
              <w:instrText xml:space="preserve"> PAGEREF _Toc444869853 \h </w:instrText>
            </w:r>
            <w:r w:rsidR="006E2592">
              <w:rPr>
                <w:noProof/>
                <w:webHidden/>
              </w:rPr>
            </w:r>
            <w:r w:rsidR="006E2592">
              <w:rPr>
                <w:noProof/>
                <w:webHidden/>
              </w:rPr>
              <w:fldChar w:fldCharType="separate"/>
            </w:r>
            <w:r w:rsidR="006E2592">
              <w:rPr>
                <w:noProof/>
                <w:webHidden/>
              </w:rPr>
              <w:t>16</w:t>
            </w:r>
            <w:r w:rsidR="006E2592">
              <w:rPr>
                <w:noProof/>
                <w:webHidden/>
              </w:rPr>
              <w:fldChar w:fldCharType="end"/>
            </w:r>
          </w:hyperlink>
        </w:p>
        <w:p w14:paraId="15E4CB11" w14:textId="77777777" w:rsidR="006E2592" w:rsidRDefault="0069572D">
          <w:pPr>
            <w:pStyle w:val="Inhopg2"/>
            <w:tabs>
              <w:tab w:val="left" w:pos="880"/>
              <w:tab w:val="right" w:leader="dot" w:pos="9062"/>
            </w:tabs>
            <w:rPr>
              <w:rFonts w:eastAsiaTheme="minorEastAsia"/>
              <w:noProof/>
              <w:lang w:val="nl-BE" w:eastAsia="nl-BE"/>
            </w:rPr>
          </w:pPr>
          <w:hyperlink w:anchor="_Toc444869854" w:history="1">
            <w:r w:rsidR="006E2592" w:rsidRPr="00B63241">
              <w:rPr>
                <w:rStyle w:val="Hyperlink"/>
                <w:noProof/>
              </w:rPr>
              <w:t>3.8</w:t>
            </w:r>
            <w:r w:rsidR="006E2592">
              <w:rPr>
                <w:rFonts w:eastAsiaTheme="minorEastAsia"/>
                <w:noProof/>
                <w:lang w:val="nl-BE" w:eastAsia="nl-BE"/>
              </w:rPr>
              <w:tab/>
            </w:r>
            <w:r w:rsidR="006E2592" w:rsidRPr="00B63241">
              <w:rPr>
                <w:rStyle w:val="Hyperlink"/>
                <w:noProof/>
              </w:rPr>
              <w:t>The Structure of the European Education Systems 2015-2016: Schematic Diagrams</w:t>
            </w:r>
            <w:r w:rsidR="006E2592">
              <w:rPr>
                <w:noProof/>
                <w:webHidden/>
              </w:rPr>
              <w:tab/>
            </w:r>
            <w:r w:rsidR="006E2592">
              <w:rPr>
                <w:noProof/>
                <w:webHidden/>
              </w:rPr>
              <w:fldChar w:fldCharType="begin"/>
            </w:r>
            <w:r w:rsidR="006E2592">
              <w:rPr>
                <w:noProof/>
                <w:webHidden/>
              </w:rPr>
              <w:instrText xml:space="preserve"> PAGEREF _Toc444869854 \h </w:instrText>
            </w:r>
            <w:r w:rsidR="006E2592">
              <w:rPr>
                <w:noProof/>
                <w:webHidden/>
              </w:rPr>
            </w:r>
            <w:r w:rsidR="006E2592">
              <w:rPr>
                <w:noProof/>
                <w:webHidden/>
              </w:rPr>
              <w:fldChar w:fldCharType="separate"/>
            </w:r>
            <w:r w:rsidR="006E2592">
              <w:rPr>
                <w:noProof/>
                <w:webHidden/>
              </w:rPr>
              <w:t>17</w:t>
            </w:r>
            <w:r w:rsidR="006E2592">
              <w:rPr>
                <w:noProof/>
                <w:webHidden/>
              </w:rPr>
              <w:fldChar w:fldCharType="end"/>
            </w:r>
          </w:hyperlink>
        </w:p>
        <w:p w14:paraId="054F05EC" w14:textId="77777777" w:rsidR="006E2592" w:rsidRDefault="0069572D">
          <w:pPr>
            <w:pStyle w:val="Inhopg2"/>
            <w:tabs>
              <w:tab w:val="left" w:pos="880"/>
              <w:tab w:val="right" w:leader="dot" w:pos="9062"/>
            </w:tabs>
            <w:rPr>
              <w:rFonts w:eastAsiaTheme="minorEastAsia"/>
              <w:noProof/>
              <w:lang w:val="nl-BE" w:eastAsia="nl-BE"/>
            </w:rPr>
          </w:pPr>
          <w:hyperlink w:anchor="_Toc444869855" w:history="1">
            <w:r w:rsidR="006E2592" w:rsidRPr="00B63241">
              <w:rPr>
                <w:rStyle w:val="Hyperlink"/>
                <w:noProof/>
              </w:rPr>
              <w:t>3.9</w:t>
            </w:r>
            <w:r w:rsidR="006E2592">
              <w:rPr>
                <w:rFonts w:eastAsiaTheme="minorEastAsia"/>
                <w:noProof/>
                <w:lang w:val="nl-BE" w:eastAsia="nl-BE"/>
              </w:rPr>
              <w:tab/>
            </w:r>
            <w:r w:rsidR="006E2592" w:rsidRPr="00B63241">
              <w:rPr>
                <w:rStyle w:val="Hyperlink"/>
                <w:noProof/>
              </w:rPr>
              <w:t>National sheets on education budgets in Europe 2015</w:t>
            </w:r>
            <w:r w:rsidR="006E2592">
              <w:rPr>
                <w:noProof/>
                <w:webHidden/>
              </w:rPr>
              <w:tab/>
            </w:r>
            <w:r w:rsidR="006E2592">
              <w:rPr>
                <w:noProof/>
                <w:webHidden/>
              </w:rPr>
              <w:fldChar w:fldCharType="begin"/>
            </w:r>
            <w:r w:rsidR="006E2592">
              <w:rPr>
                <w:noProof/>
                <w:webHidden/>
              </w:rPr>
              <w:instrText xml:space="preserve"> PAGEREF _Toc444869855 \h </w:instrText>
            </w:r>
            <w:r w:rsidR="006E2592">
              <w:rPr>
                <w:noProof/>
                <w:webHidden/>
              </w:rPr>
            </w:r>
            <w:r w:rsidR="006E2592">
              <w:rPr>
                <w:noProof/>
                <w:webHidden/>
              </w:rPr>
              <w:fldChar w:fldCharType="separate"/>
            </w:r>
            <w:r w:rsidR="006E2592">
              <w:rPr>
                <w:noProof/>
                <w:webHidden/>
              </w:rPr>
              <w:t>17</w:t>
            </w:r>
            <w:r w:rsidR="006E2592">
              <w:rPr>
                <w:noProof/>
                <w:webHidden/>
              </w:rPr>
              <w:fldChar w:fldCharType="end"/>
            </w:r>
          </w:hyperlink>
        </w:p>
        <w:p w14:paraId="43A2F1CC" w14:textId="77777777" w:rsidR="006E2592" w:rsidRDefault="0069572D">
          <w:pPr>
            <w:pStyle w:val="Inhopg2"/>
            <w:tabs>
              <w:tab w:val="left" w:pos="880"/>
              <w:tab w:val="right" w:leader="dot" w:pos="9062"/>
            </w:tabs>
            <w:rPr>
              <w:rFonts w:eastAsiaTheme="minorEastAsia"/>
              <w:noProof/>
              <w:lang w:val="nl-BE" w:eastAsia="nl-BE"/>
            </w:rPr>
          </w:pPr>
          <w:hyperlink w:anchor="_Toc444869856" w:history="1">
            <w:r w:rsidR="006E2592" w:rsidRPr="00B63241">
              <w:rPr>
                <w:rStyle w:val="Hyperlink"/>
                <w:noProof/>
              </w:rPr>
              <w:t>3.10</w:t>
            </w:r>
            <w:r w:rsidR="006E2592">
              <w:rPr>
                <w:rFonts w:eastAsiaTheme="minorEastAsia"/>
                <w:noProof/>
                <w:lang w:val="nl-BE" w:eastAsia="nl-BE"/>
              </w:rPr>
              <w:tab/>
            </w:r>
            <w:r w:rsidR="006E2592" w:rsidRPr="00B63241">
              <w:rPr>
                <w:rStyle w:val="Hyperlink"/>
                <w:noProof/>
              </w:rPr>
              <w:t>European guidelines for validating non-formal and informal learning</w:t>
            </w:r>
            <w:r w:rsidR="006E2592">
              <w:rPr>
                <w:noProof/>
                <w:webHidden/>
              </w:rPr>
              <w:tab/>
            </w:r>
            <w:r w:rsidR="006E2592">
              <w:rPr>
                <w:noProof/>
                <w:webHidden/>
              </w:rPr>
              <w:fldChar w:fldCharType="begin"/>
            </w:r>
            <w:r w:rsidR="006E2592">
              <w:rPr>
                <w:noProof/>
                <w:webHidden/>
              </w:rPr>
              <w:instrText xml:space="preserve"> PAGEREF _Toc444869856 \h </w:instrText>
            </w:r>
            <w:r w:rsidR="006E2592">
              <w:rPr>
                <w:noProof/>
                <w:webHidden/>
              </w:rPr>
            </w:r>
            <w:r w:rsidR="006E2592">
              <w:rPr>
                <w:noProof/>
                <w:webHidden/>
              </w:rPr>
              <w:fldChar w:fldCharType="separate"/>
            </w:r>
            <w:r w:rsidR="006E2592">
              <w:rPr>
                <w:noProof/>
                <w:webHidden/>
              </w:rPr>
              <w:t>17</w:t>
            </w:r>
            <w:r w:rsidR="006E2592">
              <w:rPr>
                <w:noProof/>
                <w:webHidden/>
              </w:rPr>
              <w:fldChar w:fldCharType="end"/>
            </w:r>
          </w:hyperlink>
        </w:p>
        <w:p w14:paraId="5D22E863" w14:textId="77777777" w:rsidR="006E2592" w:rsidRDefault="0069572D">
          <w:pPr>
            <w:pStyle w:val="Inhopg2"/>
            <w:tabs>
              <w:tab w:val="left" w:pos="880"/>
              <w:tab w:val="right" w:leader="dot" w:pos="9062"/>
            </w:tabs>
            <w:rPr>
              <w:rFonts w:eastAsiaTheme="minorEastAsia"/>
              <w:noProof/>
              <w:lang w:val="nl-BE" w:eastAsia="nl-BE"/>
            </w:rPr>
          </w:pPr>
          <w:hyperlink w:anchor="_Toc444869857" w:history="1">
            <w:r w:rsidR="006E2592" w:rsidRPr="00B63241">
              <w:rPr>
                <w:rStyle w:val="Hyperlink"/>
                <w:noProof/>
              </w:rPr>
              <w:t>3.11</w:t>
            </w:r>
            <w:r w:rsidR="006E2592">
              <w:rPr>
                <w:rFonts w:eastAsiaTheme="minorEastAsia"/>
                <w:noProof/>
                <w:lang w:val="nl-BE" w:eastAsia="nl-BE"/>
              </w:rPr>
              <w:tab/>
            </w:r>
            <w:r w:rsidR="006E2592" w:rsidRPr="00B63241">
              <w:rPr>
                <w:rStyle w:val="Hyperlink"/>
                <w:noProof/>
              </w:rPr>
              <w:t>Entrepreneurship education at school in Europe</w:t>
            </w:r>
            <w:r w:rsidR="006E2592">
              <w:rPr>
                <w:noProof/>
                <w:webHidden/>
              </w:rPr>
              <w:tab/>
            </w:r>
            <w:r w:rsidR="006E2592">
              <w:rPr>
                <w:noProof/>
                <w:webHidden/>
              </w:rPr>
              <w:fldChar w:fldCharType="begin"/>
            </w:r>
            <w:r w:rsidR="006E2592">
              <w:rPr>
                <w:noProof/>
                <w:webHidden/>
              </w:rPr>
              <w:instrText xml:space="preserve"> PAGEREF _Toc444869857 \h </w:instrText>
            </w:r>
            <w:r w:rsidR="006E2592">
              <w:rPr>
                <w:noProof/>
                <w:webHidden/>
              </w:rPr>
            </w:r>
            <w:r w:rsidR="006E2592">
              <w:rPr>
                <w:noProof/>
                <w:webHidden/>
              </w:rPr>
              <w:fldChar w:fldCharType="separate"/>
            </w:r>
            <w:r w:rsidR="006E2592">
              <w:rPr>
                <w:noProof/>
                <w:webHidden/>
              </w:rPr>
              <w:t>18</w:t>
            </w:r>
            <w:r w:rsidR="006E2592">
              <w:rPr>
                <w:noProof/>
                <w:webHidden/>
              </w:rPr>
              <w:fldChar w:fldCharType="end"/>
            </w:r>
          </w:hyperlink>
        </w:p>
        <w:p w14:paraId="1F3A1088" w14:textId="77777777" w:rsidR="006E2592" w:rsidRDefault="0069572D">
          <w:pPr>
            <w:pStyle w:val="Inhopg1"/>
            <w:tabs>
              <w:tab w:val="left" w:pos="440"/>
              <w:tab w:val="right" w:leader="dot" w:pos="9062"/>
            </w:tabs>
            <w:rPr>
              <w:rFonts w:eastAsiaTheme="minorEastAsia"/>
              <w:noProof/>
              <w:lang w:val="nl-BE" w:eastAsia="nl-BE"/>
            </w:rPr>
          </w:pPr>
          <w:hyperlink w:anchor="_Toc444869858" w:history="1">
            <w:r w:rsidR="006E2592" w:rsidRPr="00B63241">
              <w:rPr>
                <w:rStyle w:val="Hyperlink"/>
                <w:noProof/>
              </w:rPr>
              <w:t>4</w:t>
            </w:r>
            <w:r w:rsidR="006E2592">
              <w:rPr>
                <w:rFonts w:eastAsiaTheme="minorEastAsia"/>
                <w:noProof/>
                <w:lang w:val="nl-BE" w:eastAsia="nl-BE"/>
              </w:rPr>
              <w:tab/>
            </w:r>
            <w:r w:rsidR="006E2592" w:rsidRPr="00B63241">
              <w:rPr>
                <w:rStyle w:val="Hyperlink"/>
                <w:noProof/>
              </w:rPr>
              <w:t>Developments in other policy fields</w:t>
            </w:r>
            <w:r w:rsidR="006E2592">
              <w:rPr>
                <w:noProof/>
                <w:webHidden/>
              </w:rPr>
              <w:tab/>
            </w:r>
            <w:r w:rsidR="006E2592">
              <w:rPr>
                <w:noProof/>
                <w:webHidden/>
              </w:rPr>
              <w:fldChar w:fldCharType="begin"/>
            </w:r>
            <w:r w:rsidR="006E2592">
              <w:rPr>
                <w:noProof/>
                <w:webHidden/>
              </w:rPr>
              <w:instrText xml:space="preserve"> PAGEREF _Toc444869858 \h </w:instrText>
            </w:r>
            <w:r w:rsidR="006E2592">
              <w:rPr>
                <w:noProof/>
                <w:webHidden/>
              </w:rPr>
            </w:r>
            <w:r w:rsidR="006E2592">
              <w:rPr>
                <w:noProof/>
                <w:webHidden/>
              </w:rPr>
              <w:fldChar w:fldCharType="separate"/>
            </w:r>
            <w:r w:rsidR="006E2592">
              <w:rPr>
                <w:noProof/>
                <w:webHidden/>
              </w:rPr>
              <w:t>18</w:t>
            </w:r>
            <w:r w:rsidR="006E2592">
              <w:rPr>
                <w:noProof/>
                <w:webHidden/>
              </w:rPr>
              <w:fldChar w:fldCharType="end"/>
            </w:r>
          </w:hyperlink>
        </w:p>
        <w:p w14:paraId="119900D5" w14:textId="77777777" w:rsidR="006E2592" w:rsidRDefault="0069572D">
          <w:pPr>
            <w:pStyle w:val="Inhopg2"/>
            <w:tabs>
              <w:tab w:val="left" w:pos="880"/>
              <w:tab w:val="right" w:leader="dot" w:pos="9062"/>
            </w:tabs>
            <w:rPr>
              <w:rFonts w:eastAsiaTheme="minorEastAsia"/>
              <w:noProof/>
              <w:lang w:val="nl-BE" w:eastAsia="nl-BE"/>
            </w:rPr>
          </w:pPr>
          <w:hyperlink w:anchor="_Toc444869859" w:history="1">
            <w:r w:rsidR="006E2592" w:rsidRPr="00B63241">
              <w:rPr>
                <w:rStyle w:val="Hyperlink"/>
                <w:noProof/>
              </w:rPr>
              <w:t>4.1</w:t>
            </w:r>
            <w:r w:rsidR="006E2592">
              <w:rPr>
                <w:rFonts w:eastAsiaTheme="minorEastAsia"/>
                <w:noProof/>
                <w:lang w:val="nl-BE" w:eastAsia="nl-BE"/>
              </w:rPr>
              <w:tab/>
            </w:r>
            <w:r w:rsidR="006E2592" w:rsidRPr="00B63241">
              <w:rPr>
                <w:rStyle w:val="Hyperlink"/>
                <w:noProof/>
              </w:rPr>
              <w:t>EU Youth Report</w:t>
            </w:r>
            <w:r w:rsidR="006E2592">
              <w:rPr>
                <w:noProof/>
                <w:webHidden/>
              </w:rPr>
              <w:tab/>
            </w:r>
            <w:r w:rsidR="006E2592">
              <w:rPr>
                <w:noProof/>
                <w:webHidden/>
              </w:rPr>
              <w:fldChar w:fldCharType="begin"/>
            </w:r>
            <w:r w:rsidR="006E2592">
              <w:rPr>
                <w:noProof/>
                <w:webHidden/>
              </w:rPr>
              <w:instrText xml:space="preserve"> PAGEREF _Toc444869859 \h </w:instrText>
            </w:r>
            <w:r w:rsidR="006E2592">
              <w:rPr>
                <w:noProof/>
                <w:webHidden/>
              </w:rPr>
            </w:r>
            <w:r w:rsidR="006E2592">
              <w:rPr>
                <w:noProof/>
                <w:webHidden/>
              </w:rPr>
              <w:fldChar w:fldCharType="separate"/>
            </w:r>
            <w:r w:rsidR="006E2592">
              <w:rPr>
                <w:noProof/>
                <w:webHidden/>
              </w:rPr>
              <w:t>18</w:t>
            </w:r>
            <w:r w:rsidR="006E2592">
              <w:rPr>
                <w:noProof/>
                <w:webHidden/>
              </w:rPr>
              <w:fldChar w:fldCharType="end"/>
            </w:r>
          </w:hyperlink>
        </w:p>
        <w:p w14:paraId="35C1B389" w14:textId="77777777" w:rsidR="006E2592" w:rsidRDefault="0069572D">
          <w:pPr>
            <w:pStyle w:val="Inhopg2"/>
            <w:tabs>
              <w:tab w:val="left" w:pos="880"/>
              <w:tab w:val="right" w:leader="dot" w:pos="9062"/>
            </w:tabs>
            <w:rPr>
              <w:rFonts w:eastAsiaTheme="minorEastAsia"/>
              <w:noProof/>
              <w:lang w:val="nl-BE" w:eastAsia="nl-BE"/>
            </w:rPr>
          </w:pPr>
          <w:hyperlink w:anchor="_Toc444869860" w:history="1">
            <w:r w:rsidR="006E2592" w:rsidRPr="00B63241">
              <w:rPr>
                <w:rStyle w:val="Hyperlink"/>
                <w:noProof/>
              </w:rPr>
              <w:t>4.2</w:t>
            </w:r>
            <w:r w:rsidR="006E2592">
              <w:rPr>
                <w:rFonts w:eastAsiaTheme="minorEastAsia"/>
                <w:noProof/>
                <w:lang w:val="nl-BE" w:eastAsia="nl-BE"/>
              </w:rPr>
              <w:tab/>
            </w:r>
            <w:r w:rsidR="006E2592" w:rsidRPr="00B63241">
              <w:rPr>
                <w:rStyle w:val="Hyperlink"/>
                <w:noProof/>
              </w:rPr>
              <w:t>Employment and Social Developments in Europe</w:t>
            </w:r>
            <w:r w:rsidR="006E2592">
              <w:rPr>
                <w:noProof/>
                <w:webHidden/>
              </w:rPr>
              <w:tab/>
            </w:r>
            <w:r w:rsidR="006E2592">
              <w:rPr>
                <w:noProof/>
                <w:webHidden/>
              </w:rPr>
              <w:fldChar w:fldCharType="begin"/>
            </w:r>
            <w:r w:rsidR="006E2592">
              <w:rPr>
                <w:noProof/>
                <w:webHidden/>
              </w:rPr>
              <w:instrText xml:space="preserve"> PAGEREF _Toc444869860 \h </w:instrText>
            </w:r>
            <w:r w:rsidR="006E2592">
              <w:rPr>
                <w:noProof/>
                <w:webHidden/>
              </w:rPr>
            </w:r>
            <w:r w:rsidR="006E2592">
              <w:rPr>
                <w:noProof/>
                <w:webHidden/>
              </w:rPr>
              <w:fldChar w:fldCharType="separate"/>
            </w:r>
            <w:r w:rsidR="006E2592">
              <w:rPr>
                <w:noProof/>
                <w:webHidden/>
              </w:rPr>
              <w:t>19</w:t>
            </w:r>
            <w:r w:rsidR="006E2592">
              <w:rPr>
                <w:noProof/>
                <w:webHidden/>
              </w:rPr>
              <w:fldChar w:fldCharType="end"/>
            </w:r>
          </w:hyperlink>
        </w:p>
        <w:p w14:paraId="2F68371D" w14:textId="432E90A6" w:rsidR="00C2654E" w:rsidRDefault="00C2654E">
          <w:r>
            <w:rPr>
              <w:b/>
              <w:bCs/>
            </w:rPr>
            <w:fldChar w:fldCharType="end"/>
          </w:r>
        </w:p>
      </w:sdtContent>
    </w:sdt>
    <w:p w14:paraId="1E18B84F" w14:textId="77777777" w:rsidR="00C2654E" w:rsidRPr="00C82266" w:rsidRDefault="00C2654E" w:rsidP="00C82266">
      <w:pPr>
        <w:rPr>
          <w:lang w:val="en-GB" w:eastAsia="nl-NL"/>
        </w:rPr>
      </w:pPr>
    </w:p>
    <w:p w14:paraId="3648DBF6" w14:textId="77777777" w:rsidR="00245496" w:rsidRPr="00EE75B7" w:rsidRDefault="00245496" w:rsidP="00C82266">
      <w:pPr>
        <w:keepNext/>
        <w:keepLines/>
        <w:numPr>
          <w:ilvl w:val="0"/>
          <w:numId w:val="1"/>
        </w:numPr>
        <w:spacing w:before="240" w:after="240" w:line="280" w:lineRule="exact"/>
        <w:contextualSpacing/>
        <w:jc w:val="center"/>
        <w:rPr>
          <w:rFonts w:ascii="Verdana" w:eastAsia="Times New Roman" w:hAnsi="Verdana" w:cs="Times New Roman"/>
          <w:b/>
          <w:color w:val="808080"/>
          <w:kern w:val="28"/>
          <w:sz w:val="28"/>
          <w:szCs w:val="20"/>
          <w:lang w:eastAsia="nl-NL"/>
        </w:rPr>
      </w:pPr>
      <w:r w:rsidRPr="00EE75B7">
        <w:rPr>
          <w:rFonts w:ascii="Verdana" w:eastAsia="Times New Roman" w:hAnsi="Verdana" w:cs="Times New Roman"/>
          <w:b/>
          <w:color w:val="808080"/>
          <w:kern w:val="28"/>
          <w:sz w:val="28"/>
          <w:szCs w:val="20"/>
          <w:lang w:eastAsia="nl-NL"/>
        </w:rPr>
        <w:lastRenderedPageBreak/>
        <w:t>European Union</w:t>
      </w:r>
    </w:p>
    <w:p w14:paraId="242B4336" w14:textId="77777777" w:rsidR="00245496" w:rsidRDefault="00245496" w:rsidP="00103812">
      <w:pPr>
        <w:pStyle w:val="Kop1"/>
        <w:rPr>
          <w:rFonts w:eastAsia="Times New Roman"/>
        </w:rPr>
      </w:pPr>
      <w:bookmarkStart w:id="0" w:name="_Toc444869825"/>
      <w:r w:rsidRPr="00EE75B7">
        <w:rPr>
          <w:rFonts w:eastAsia="Times New Roman"/>
        </w:rPr>
        <w:t>Institutional context</w:t>
      </w:r>
      <w:bookmarkEnd w:id="0"/>
      <w:r w:rsidRPr="00EE75B7">
        <w:rPr>
          <w:rFonts w:eastAsia="Times New Roman"/>
        </w:rPr>
        <w:t xml:space="preserve"> </w:t>
      </w:r>
    </w:p>
    <w:p w14:paraId="2ABE361A" w14:textId="77777777" w:rsidR="00F74945" w:rsidRPr="00103812" w:rsidRDefault="00F74945" w:rsidP="00103812">
      <w:pPr>
        <w:pStyle w:val="Kop2"/>
      </w:pPr>
      <w:bookmarkStart w:id="1" w:name="_Toc444869826"/>
      <w:r w:rsidRPr="00103812">
        <w:t>European Commission Work Programme 2016</w:t>
      </w:r>
      <w:r w:rsidR="00A57789" w:rsidRPr="00103812">
        <w:t>:</w:t>
      </w:r>
      <w:r w:rsidRPr="00103812">
        <w:t xml:space="preserve"> </w:t>
      </w:r>
      <w:r w:rsidR="00A57789" w:rsidRPr="00103812">
        <w:t>‘</w:t>
      </w:r>
      <w:r w:rsidRPr="00103812">
        <w:t>No time for business as usual</w:t>
      </w:r>
      <w:r w:rsidR="00A57789" w:rsidRPr="00103812">
        <w:t>’</w:t>
      </w:r>
      <w:bookmarkEnd w:id="1"/>
    </w:p>
    <w:p w14:paraId="5E2E41DC" w14:textId="77777777" w:rsidR="00F74945" w:rsidRPr="00502043" w:rsidRDefault="00F74945" w:rsidP="007A4137">
      <w:pPr>
        <w:jc w:val="both"/>
        <w:rPr>
          <w:lang w:val="en-GB"/>
        </w:rPr>
      </w:pPr>
      <w:r w:rsidRPr="00502043">
        <w:rPr>
          <w:lang w:val="en-GB"/>
        </w:rPr>
        <w:t>27 October 2015</w:t>
      </w:r>
    </w:p>
    <w:p w14:paraId="2FA17A87" w14:textId="77777777" w:rsidR="00F74945" w:rsidRDefault="00F74945" w:rsidP="007A4137">
      <w:pPr>
        <w:jc w:val="both"/>
      </w:pPr>
      <w:r w:rsidRPr="00502043">
        <w:rPr>
          <w:lang w:val="en-GB"/>
        </w:rPr>
        <w:t xml:space="preserve">The working programme translates the ten priorities of this Commission into concrete proposals. </w:t>
      </w:r>
      <w:r>
        <w:t>The majority of the proposals is related to:</w:t>
      </w:r>
    </w:p>
    <w:p w14:paraId="60E64C35" w14:textId="77777777" w:rsidR="00F74945" w:rsidRPr="00502043" w:rsidRDefault="00F74945" w:rsidP="00702EF8">
      <w:pPr>
        <w:pStyle w:val="Lijstalinea"/>
        <w:numPr>
          <w:ilvl w:val="0"/>
          <w:numId w:val="4"/>
        </w:numPr>
        <w:spacing w:after="160" w:line="259" w:lineRule="auto"/>
        <w:jc w:val="both"/>
        <w:rPr>
          <w:lang w:val="en-GB"/>
        </w:rPr>
      </w:pPr>
      <w:r w:rsidRPr="00502043">
        <w:rPr>
          <w:lang w:val="en-GB"/>
        </w:rPr>
        <w:t>A new boost for growth, jobs and investments</w:t>
      </w:r>
    </w:p>
    <w:p w14:paraId="7E066BCF" w14:textId="77777777" w:rsidR="00F74945" w:rsidRPr="00502043" w:rsidRDefault="00F74945" w:rsidP="00702EF8">
      <w:pPr>
        <w:pStyle w:val="Lijstalinea"/>
        <w:numPr>
          <w:ilvl w:val="0"/>
          <w:numId w:val="4"/>
        </w:numPr>
        <w:spacing w:after="160" w:line="259" w:lineRule="auto"/>
        <w:jc w:val="both"/>
        <w:rPr>
          <w:lang w:val="en-GB"/>
        </w:rPr>
      </w:pPr>
      <w:r w:rsidRPr="00502043">
        <w:rPr>
          <w:lang w:val="en-GB"/>
        </w:rPr>
        <w:t>A deeper and fairer internal market</w:t>
      </w:r>
    </w:p>
    <w:p w14:paraId="5762ED3E" w14:textId="77777777" w:rsidR="00F74945" w:rsidRDefault="00F74945" w:rsidP="007A4137">
      <w:pPr>
        <w:jc w:val="both"/>
        <w:rPr>
          <w:lang w:val="en-GB"/>
        </w:rPr>
      </w:pPr>
      <w:r w:rsidRPr="00502043">
        <w:rPr>
          <w:lang w:val="en-GB"/>
        </w:rPr>
        <w:t>Actions related to education and training are to be situated in first of the ten priorities (A new b</w:t>
      </w:r>
      <w:r>
        <w:rPr>
          <w:lang w:val="en-GB"/>
        </w:rPr>
        <w:t>o</w:t>
      </w:r>
      <w:r w:rsidRPr="00502043">
        <w:rPr>
          <w:lang w:val="en-GB"/>
        </w:rPr>
        <w:t xml:space="preserve">ost for growth, jobs and investments): The new Skills Agenda will promote lifelong investment in people from vocational education and higher education through to digital and high tech </w:t>
      </w:r>
      <w:r w:rsidR="00C16E2F">
        <w:rPr>
          <w:lang w:val="en-GB"/>
        </w:rPr>
        <w:t>expertise and life skills need</w:t>
      </w:r>
      <w:r w:rsidRPr="00502043">
        <w:rPr>
          <w:lang w:val="en-GB"/>
        </w:rPr>
        <w:t xml:space="preserve"> for citizens’ active engagement into changing workplaces and societies. The Agenda aims at promoting skills development including the mutual recognition of qualifications, supporting vocational training and higher education and reaping the full potential of digital jobs.</w:t>
      </w:r>
    </w:p>
    <w:p w14:paraId="093445E8" w14:textId="77777777" w:rsidR="00F74945" w:rsidRDefault="0069572D" w:rsidP="007A4137">
      <w:pPr>
        <w:jc w:val="both"/>
        <w:rPr>
          <w:rStyle w:val="Hyperlink"/>
          <w:lang w:val="en-GB"/>
        </w:rPr>
      </w:pPr>
      <w:hyperlink r:id="rId12" w:history="1">
        <w:r w:rsidR="00F74945" w:rsidRPr="00F74945">
          <w:rPr>
            <w:rStyle w:val="Hyperlink"/>
            <w:lang w:val="en-GB"/>
          </w:rPr>
          <w:t>Working programme and annexes</w:t>
        </w:r>
      </w:hyperlink>
    </w:p>
    <w:p w14:paraId="356A9BB7" w14:textId="77777777" w:rsidR="00A767AE" w:rsidRPr="00103812" w:rsidRDefault="00A767AE" w:rsidP="00103812">
      <w:pPr>
        <w:pStyle w:val="Kop2"/>
      </w:pPr>
      <w:bookmarkStart w:id="2" w:name="_Toc444869827"/>
      <w:r w:rsidRPr="00103812">
        <w:t>The European Semester</w:t>
      </w:r>
      <w:bookmarkEnd w:id="2"/>
    </w:p>
    <w:p w14:paraId="55E48B6E" w14:textId="77777777" w:rsidR="00A767AE" w:rsidRPr="00A767AE" w:rsidRDefault="00A767AE" w:rsidP="00A767AE">
      <w:pPr>
        <w:jc w:val="both"/>
        <w:rPr>
          <w:lang w:val="en-GB"/>
        </w:rPr>
      </w:pPr>
      <w:r w:rsidRPr="00A767AE">
        <w:rPr>
          <w:lang w:val="en-GB"/>
        </w:rPr>
        <w:t xml:space="preserve">All Member States have committed to achieving the </w:t>
      </w:r>
      <w:hyperlink r:id="rId13" w:tooltip="Europe 2020 targets" w:history="1">
        <w:r w:rsidRPr="00A767AE">
          <w:rPr>
            <w:rStyle w:val="Hyperlink"/>
            <w:lang w:val="en-GB"/>
          </w:rPr>
          <w:t>Europe 2020 targets</w:t>
        </w:r>
      </w:hyperlink>
      <w:r w:rsidRPr="00A767AE">
        <w:rPr>
          <w:lang w:val="en-GB"/>
        </w:rPr>
        <w:t xml:space="preserve"> and have translated them into national targets. But only if the individual efforts of all countries are coordinated and focused, can they result in the desired impact on growth. Therefore, the European Union has set up a yearly cycle of economic policy coordination called the </w:t>
      </w:r>
      <w:r w:rsidRPr="00A767AE">
        <w:rPr>
          <w:b/>
          <w:bCs/>
          <w:lang w:val="en-GB"/>
        </w:rPr>
        <w:t>European Semester</w:t>
      </w:r>
      <w:r w:rsidRPr="00A767AE">
        <w:rPr>
          <w:lang w:val="en-GB"/>
        </w:rPr>
        <w:t>. Each year, the Commission undertakes a detailed analysis of EU Member States' plans of budgetary, macroeconomic and structural reforms and provides them with recommendations for the next 12-18 months.</w:t>
      </w:r>
    </w:p>
    <w:p w14:paraId="3BC5CD88" w14:textId="77777777" w:rsidR="00A767AE" w:rsidRPr="00A767AE" w:rsidRDefault="00A767AE" w:rsidP="00A767AE">
      <w:pPr>
        <w:jc w:val="both"/>
        <w:rPr>
          <w:lang w:val="en-GB"/>
        </w:rPr>
      </w:pPr>
      <w:r w:rsidRPr="00A767AE">
        <w:rPr>
          <w:lang w:val="en-GB"/>
        </w:rPr>
        <w:t xml:space="preserve">In </w:t>
      </w:r>
      <w:hyperlink r:id="rId14" w:tgtFrame="_blank" w:tooltip="October 2015" w:history="1">
        <w:r w:rsidRPr="00A767AE">
          <w:rPr>
            <w:rStyle w:val="Hyperlink"/>
            <w:lang w:val="en-GB"/>
          </w:rPr>
          <w:t>October 2015</w:t>
        </w:r>
      </w:hyperlink>
      <w:r w:rsidRPr="00A767AE">
        <w:rPr>
          <w:lang w:val="en-GB"/>
        </w:rPr>
        <w:t xml:space="preserve">, the Commission decided to further streamline the European Semester. </w:t>
      </w:r>
    </w:p>
    <w:p w14:paraId="2E6ABAB1" w14:textId="77777777" w:rsidR="00A767AE" w:rsidRPr="00A767AE" w:rsidRDefault="00A767AE" w:rsidP="00C82266">
      <w:pPr>
        <w:jc w:val="both"/>
        <w:rPr>
          <w:lang w:val="en-GB"/>
        </w:rPr>
      </w:pPr>
      <w:r w:rsidRPr="00A767AE">
        <w:rPr>
          <w:lang w:val="en-GB"/>
        </w:rPr>
        <w:t>On 26 November 2015, the European Commission published a package that launches the annual cycle of economic governance:</w:t>
      </w:r>
    </w:p>
    <w:p w14:paraId="4F88DB70" w14:textId="77777777" w:rsidR="00A767AE" w:rsidRPr="00A767AE" w:rsidRDefault="00A767AE" w:rsidP="00C82266">
      <w:pPr>
        <w:pStyle w:val="Lijstalinea"/>
        <w:numPr>
          <w:ilvl w:val="0"/>
          <w:numId w:val="12"/>
        </w:numPr>
        <w:jc w:val="both"/>
        <w:rPr>
          <w:lang w:val="en-GB" w:eastAsia="en-GB"/>
        </w:rPr>
      </w:pPr>
      <w:r w:rsidRPr="00A767AE">
        <w:rPr>
          <w:lang w:val="en-GB" w:eastAsia="en-GB"/>
        </w:rPr>
        <w:t xml:space="preserve">The </w:t>
      </w:r>
      <w:r w:rsidRPr="00A767AE">
        <w:rPr>
          <w:b/>
          <w:lang w:val="en-GB" w:eastAsia="en-GB"/>
        </w:rPr>
        <w:t>annual growth survey</w:t>
      </w:r>
      <w:r w:rsidRPr="00A767AE">
        <w:rPr>
          <w:lang w:val="en-GB" w:eastAsia="en-GB"/>
        </w:rPr>
        <w:t xml:space="preserve"> (AGS); It sets out general economic and social priorities for the EU; In the annual growth survey 2016 the Commission recommends building on the three main pillars identified last year for the EU's economic and social policy: re-launching investment, pursuing structural reforms and responsible fiscal policies.</w:t>
      </w:r>
    </w:p>
    <w:p w14:paraId="505727EF" w14:textId="2A5491BD" w:rsidR="00A767AE" w:rsidRPr="00A767AE" w:rsidRDefault="0069572D" w:rsidP="00C82266">
      <w:pPr>
        <w:pStyle w:val="Lijstalinea"/>
        <w:jc w:val="both"/>
        <w:rPr>
          <w:lang w:val="en-GB" w:eastAsia="en-GB"/>
        </w:rPr>
      </w:pPr>
      <w:hyperlink r:id="rId15" w:history="1">
        <w:r w:rsidR="00A767AE" w:rsidRPr="00A767AE">
          <w:rPr>
            <w:lang w:val="en-GB" w:eastAsia="en-GB"/>
          </w:rPr>
          <w:t>http://ec.europa.eu/europe2020/pdf/2016/ags2016_annual_growth_survey.pdf</w:t>
        </w:r>
      </w:hyperlink>
      <w:r w:rsidR="00C82266">
        <w:rPr>
          <w:lang w:val="en-GB" w:eastAsia="en-GB"/>
        </w:rPr>
        <w:t xml:space="preserve"> </w:t>
      </w:r>
      <w:r w:rsidR="00A767AE" w:rsidRPr="00A767AE">
        <w:rPr>
          <w:lang w:val="en-GB" w:eastAsia="en-GB"/>
        </w:rPr>
        <w:t xml:space="preserve"> </w:t>
      </w:r>
      <w:r w:rsidR="00C82266">
        <w:rPr>
          <w:lang w:val="en-GB" w:eastAsia="en-GB"/>
        </w:rPr>
        <w:t xml:space="preserve"> </w:t>
      </w:r>
    </w:p>
    <w:p w14:paraId="3AA3EA45" w14:textId="77777777" w:rsidR="00A767AE" w:rsidRPr="00A767AE" w:rsidRDefault="00A767AE" w:rsidP="00C82266">
      <w:pPr>
        <w:pStyle w:val="Lijstalinea"/>
        <w:numPr>
          <w:ilvl w:val="0"/>
          <w:numId w:val="12"/>
        </w:numPr>
        <w:jc w:val="both"/>
        <w:rPr>
          <w:lang w:val="en-GB" w:eastAsia="en-GB"/>
        </w:rPr>
      </w:pPr>
      <w:r w:rsidRPr="00A767AE">
        <w:rPr>
          <w:lang w:val="en-GB" w:eastAsia="en-GB"/>
        </w:rPr>
        <w:lastRenderedPageBreak/>
        <w:t xml:space="preserve">The </w:t>
      </w:r>
      <w:r w:rsidRPr="00A767AE">
        <w:rPr>
          <w:b/>
          <w:lang w:val="en-GB" w:eastAsia="en-GB"/>
        </w:rPr>
        <w:t>alert mechanism report</w:t>
      </w:r>
      <w:r w:rsidRPr="00A767AE">
        <w:rPr>
          <w:lang w:val="en-GB" w:eastAsia="en-GB"/>
        </w:rPr>
        <w:t xml:space="preserve"> (AMR). The AMR aims to identify risks of imbalances that require further in-depth investigation as imbalances may hinder the performance of national economies, the euro area, or the EU as a whole.</w:t>
      </w:r>
    </w:p>
    <w:p w14:paraId="3D5F28DE" w14:textId="77777777" w:rsidR="00A767AE" w:rsidRPr="00A767AE" w:rsidRDefault="0069572D" w:rsidP="00C82266">
      <w:pPr>
        <w:pStyle w:val="Lijstalinea"/>
        <w:jc w:val="both"/>
        <w:rPr>
          <w:lang w:val="en-GB" w:eastAsia="en-GB"/>
        </w:rPr>
      </w:pPr>
      <w:hyperlink r:id="rId16" w:history="1">
        <w:r w:rsidR="00A767AE" w:rsidRPr="00A767AE">
          <w:rPr>
            <w:lang w:val="en-GB" w:eastAsia="en-GB"/>
          </w:rPr>
          <w:t>http://ec.europa.eu/europe2020/pdf/2016/ags2016_alert_mechanism_report.pdf</w:t>
        </w:r>
      </w:hyperlink>
      <w:r w:rsidR="00A767AE" w:rsidRPr="00A767AE">
        <w:rPr>
          <w:lang w:val="en-GB" w:eastAsia="en-GB"/>
        </w:rPr>
        <w:t xml:space="preserve"> </w:t>
      </w:r>
    </w:p>
    <w:p w14:paraId="06AF9149" w14:textId="77777777" w:rsidR="00A767AE" w:rsidRPr="00A767AE" w:rsidRDefault="00A767AE" w:rsidP="00C82266">
      <w:pPr>
        <w:pStyle w:val="Lijstalinea"/>
        <w:numPr>
          <w:ilvl w:val="0"/>
          <w:numId w:val="12"/>
        </w:numPr>
        <w:jc w:val="both"/>
        <w:rPr>
          <w:b/>
          <w:lang w:val="en-GB" w:eastAsia="en-GB"/>
        </w:rPr>
      </w:pPr>
      <w:r w:rsidRPr="00A767AE">
        <w:rPr>
          <w:b/>
          <w:lang w:val="en-GB" w:eastAsia="en-GB"/>
        </w:rPr>
        <w:t>The draft joint report on employment.</w:t>
      </w:r>
    </w:p>
    <w:p w14:paraId="18655FAF" w14:textId="77777777" w:rsidR="00A767AE" w:rsidRPr="00A767AE" w:rsidRDefault="0069572D" w:rsidP="00C82266">
      <w:pPr>
        <w:pStyle w:val="Lijstalinea"/>
        <w:jc w:val="both"/>
        <w:rPr>
          <w:lang w:val="en-GB" w:eastAsia="en-GB"/>
        </w:rPr>
      </w:pPr>
      <w:hyperlink r:id="rId17" w:history="1">
        <w:r w:rsidR="00A767AE" w:rsidRPr="00A767AE">
          <w:rPr>
            <w:lang w:val="en-GB" w:eastAsia="en-GB"/>
          </w:rPr>
          <w:t>http://ec.europa.eu/europe2020/pdf/2016/ags2016_draft_joint_employment_report.pdf</w:t>
        </w:r>
      </w:hyperlink>
      <w:r w:rsidR="00A767AE" w:rsidRPr="00A767AE">
        <w:rPr>
          <w:lang w:val="en-GB" w:eastAsia="en-GB"/>
        </w:rPr>
        <w:t xml:space="preserve"> </w:t>
      </w:r>
    </w:p>
    <w:p w14:paraId="04147EF7" w14:textId="584E5E5D" w:rsidR="00A767AE" w:rsidRPr="00A767AE" w:rsidRDefault="00A767AE" w:rsidP="00C82266">
      <w:pPr>
        <w:jc w:val="both"/>
        <w:rPr>
          <w:lang w:val="en-GB"/>
        </w:rPr>
      </w:pPr>
      <w:r w:rsidRPr="00A767AE">
        <w:rPr>
          <w:lang w:val="en-GB"/>
        </w:rPr>
        <w:t>For the first time, the package also contains a council recommendation for the economic policy of the euro area (</w:t>
      </w:r>
      <w:hyperlink r:id="rId18" w:history="1">
        <w:r w:rsidR="00C82266" w:rsidRPr="003F7D1D">
          <w:rPr>
            <w:rStyle w:val="Hyperlink"/>
            <w:lang w:val="en-GB"/>
          </w:rPr>
          <w:t>http://ec.europa.eu/europe2020/pdf/2016/ags2016_euro_area_recommendations.pdf</w:t>
        </w:r>
      </w:hyperlink>
      <w:r w:rsidR="00C82266">
        <w:rPr>
          <w:lang w:val="en-GB"/>
        </w:rPr>
        <w:t xml:space="preserve"> </w:t>
      </w:r>
      <w:r w:rsidRPr="00A767AE">
        <w:rPr>
          <w:lang w:val="en-GB"/>
        </w:rPr>
        <w:t xml:space="preserve">); this is an important change in comparison with earlier semesters, when the recommendations where only published at the end of the cycle, together with the country specific recommendations. </w:t>
      </w:r>
    </w:p>
    <w:p w14:paraId="21577AA9" w14:textId="77777777" w:rsidR="00245496" w:rsidRPr="00103812" w:rsidRDefault="00245496" w:rsidP="00103812">
      <w:pPr>
        <w:pStyle w:val="Kop2"/>
      </w:pPr>
      <w:bookmarkStart w:id="3" w:name="_Toc444869828"/>
      <w:r w:rsidRPr="00103812">
        <w:t>Presidencies of the EU</w:t>
      </w:r>
      <w:bookmarkEnd w:id="3"/>
    </w:p>
    <w:p w14:paraId="34097053" w14:textId="77777777" w:rsidR="006D0D65" w:rsidRPr="00CD5B79" w:rsidRDefault="006D0D65" w:rsidP="007A4137">
      <w:pPr>
        <w:pStyle w:val="Kop3"/>
        <w:jc w:val="both"/>
      </w:pPr>
      <w:bookmarkStart w:id="4" w:name="_Toc444869829"/>
      <w:r w:rsidRPr="00CD5B79">
        <w:t>The Luxembourg Presidency of the EU</w:t>
      </w:r>
      <w:bookmarkEnd w:id="4"/>
    </w:p>
    <w:p w14:paraId="6926EC34" w14:textId="77777777" w:rsidR="006D0D65" w:rsidRPr="00CD5B79" w:rsidRDefault="006D0D65" w:rsidP="007A4137">
      <w:pPr>
        <w:jc w:val="both"/>
        <w:rPr>
          <w:lang w:val="en-GB"/>
        </w:rPr>
      </w:pPr>
      <w:r w:rsidRPr="00CD5B79">
        <w:rPr>
          <w:lang w:val="en-GB"/>
        </w:rPr>
        <w:t>July – December 2015</w:t>
      </w:r>
    </w:p>
    <w:p w14:paraId="15406EBF" w14:textId="77777777" w:rsidR="006D0D65" w:rsidRPr="00C16E2F" w:rsidRDefault="006D0D65" w:rsidP="007A4137">
      <w:pPr>
        <w:jc w:val="both"/>
        <w:rPr>
          <w:lang w:val="en-GB"/>
        </w:rPr>
      </w:pPr>
      <w:r w:rsidRPr="00C16E2F">
        <w:rPr>
          <w:lang w:val="en-GB"/>
        </w:rPr>
        <w:t>The programme of the Luxembo</w:t>
      </w:r>
      <w:r w:rsidR="00A767AE">
        <w:rPr>
          <w:lang w:val="en-GB"/>
        </w:rPr>
        <w:t>urg Presidency wa</w:t>
      </w:r>
      <w:r w:rsidRPr="00C16E2F">
        <w:rPr>
          <w:lang w:val="en-GB"/>
        </w:rPr>
        <w:t xml:space="preserve">s placed in the context of the implementation of the </w:t>
      </w:r>
      <w:hyperlink r:id="rId19" w:tgtFrame="_blank" w:tooltip="Strategic Agenda for the Union in Times of Change - New window" w:history="1">
        <w:r w:rsidRPr="00C16E2F">
          <w:rPr>
            <w:rStyle w:val="Hyperlink"/>
            <w:bCs/>
            <w:lang w:val="en-GB"/>
          </w:rPr>
          <w:t>Strategic Agenda for the Union in Times of Change</w:t>
        </w:r>
      </w:hyperlink>
      <w:r w:rsidRPr="00C16E2F">
        <w:rPr>
          <w:lang w:val="en-GB"/>
        </w:rPr>
        <w:t xml:space="preserve"> adopted by the European Council of 26 and 27 June 2014 and which outlines the key priorities for the European Union over the next five years. The programme takes also account of the </w:t>
      </w:r>
      <w:hyperlink r:id="rId20" w:tgtFrame="_blank" w:tooltip="Policy orientations of the President of the Commission - PDF - New window" w:history="1">
        <w:r w:rsidRPr="00C16E2F">
          <w:rPr>
            <w:rStyle w:val="Hyperlink"/>
            <w:bCs/>
            <w:lang w:val="en-GB"/>
          </w:rPr>
          <w:t>policy orientations of the President of the Commission</w:t>
        </w:r>
      </w:hyperlink>
      <w:r w:rsidRPr="00C16E2F">
        <w:rPr>
          <w:lang w:val="en-GB"/>
        </w:rPr>
        <w:t xml:space="preserve">, the </w:t>
      </w:r>
      <w:hyperlink r:id="rId21" w:tgtFrame="_blank" w:tooltip="Commission work programme 2015 - PDF - New window" w:history="1">
        <w:r w:rsidRPr="00C16E2F">
          <w:rPr>
            <w:rStyle w:val="Hyperlink"/>
            <w:bCs/>
            <w:lang w:val="en-GB"/>
          </w:rPr>
          <w:t>annual work programme of the Commission</w:t>
        </w:r>
      </w:hyperlink>
      <w:r w:rsidRPr="00C16E2F">
        <w:rPr>
          <w:lang w:val="en-GB"/>
        </w:rPr>
        <w:t xml:space="preserve"> and the </w:t>
      </w:r>
      <w:hyperlink r:id="rId22" w:tgtFrame="_blank" w:tooltip="18 month programme of the Council (1 July 2014 - 31 December 2015) - New window" w:history="1">
        <w:r w:rsidRPr="00C16E2F">
          <w:rPr>
            <w:rStyle w:val="Hyperlink"/>
            <w:bCs/>
            <w:lang w:val="en-GB"/>
          </w:rPr>
          <w:t>work of the 'Trio'</w:t>
        </w:r>
      </w:hyperlink>
      <w:r w:rsidRPr="00C16E2F">
        <w:rPr>
          <w:lang w:val="en-GB"/>
        </w:rPr>
        <w:t xml:space="preserve"> made up of Italy, Latvia and Luxembourg.  </w:t>
      </w:r>
    </w:p>
    <w:p w14:paraId="6CBEE840" w14:textId="77777777" w:rsidR="00C16E2F" w:rsidRPr="00C16E2F" w:rsidRDefault="00C16E2F" w:rsidP="007A4137">
      <w:pPr>
        <w:jc w:val="both"/>
        <w:rPr>
          <w:lang w:val="en-GB"/>
        </w:rPr>
      </w:pPr>
      <w:r w:rsidRPr="00C16E2F">
        <w:rPr>
          <w:lang w:val="en-GB"/>
        </w:rPr>
        <w:t xml:space="preserve">Priorities in the field of education and training: </w:t>
      </w:r>
    </w:p>
    <w:p w14:paraId="72E0CD2B" w14:textId="77777777" w:rsidR="00C16E2F" w:rsidRPr="00C16E2F" w:rsidRDefault="00C16E2F" w:rsidP="00702EF8">
      <w:pPr>
        <w:pStyle w:val="Lijstalinea"/>
        <w:numPr>
          <w:ilvl w:val="0"/>
          <w:numId w:val="12"/>
        </w:numPr>
        <w:jc w:val="both"/>
        <w:rPr>
          <w:lang w:val="en-GB" w:eastAsia="en-GB"/>
        </w:rPr>
      </w:pPr>
      <w:r w:rsidRPr="00C16E2F">
        <w:rPr>
          <w:lang w:val="en-GB" w:eastAsia="en-GB"/>
        </w:rPr>
        <w:t>Early childhood education and care (language development, valorizing diversity);</w:t>
      </w:r>
    </w:p>
    <w:p w14:paraId="352BD672" w14:textId="5A20A7AF" w:rsidR="00C16E2F" w:rsidRDefault="00C16E2F" w:rsidP="00702EF8">
      <w:pPr>
        <w:pStyle w:val="Lijstalinea"/>
        <w:numPr>
          <w:ilvl w:val="0"/>
          <w:numId w:val="12"/>
        </w:numPr>
        <w:jc w:val="both"/>
        <w:rPr>
          <w:lang w:val="en-GB" w:eastAsia="en-GB"/>
        </w:rPr>
      </w:pPr>
      <w:r>
        <w:rPr>
          <w:lang w:val="en-GB" w:eastAsia="en-GB"/>
        </w:rPr>
        <w:t xml:space="preserve">Tackle early school leaving: Council conclusions on 23 November (see </w:t>
      </w:r>
      <w:r w:rsidR="00C82266">
        <w:rPr>
          <w:lang w:val="en-GB" w:eastAsia="en-GB"/>
        </w:rPr>
        <w:fldChar w:fldCharType="begin"/>
      </w:r>
      <w:r w:rsidR="00C82266">
        <w:rPr>
          <w:lang w:val="en-GB" w:eastAsia="en-GB"/>
        </w:rPr>
        <w:instrText xml:space="preserve"> REF _Ref444160467 \r \h </w:instrText>
      </w:r>
      <w:r w:rsidR="00C82266">
        <w:rPr>
          <w:lang w:val="en-GB" w:eastAsia="en-GB"/>
        </w:rPr>
      </w:r>
      <w:r w:rsidR="00C82266">
        <w:rPr>
          <w:lang w:val="en-GB" w:eastAsia="en-GB"/>
        </w:rPr>
        <w:fldChar w:fldCharType="separate"/>
      </w:r>
      <w:r w:rsidR="00C82266">
        <w:rPr>
          <w:lang w:val="en-GB" w:eastAsia="en-GB"/>
        </w:rPr>
        <w:t>2.4</w:t>
      </w:r>
      <w:r w:rsidR="00C82266">
        <w:rPr>
          <w:lang w:val="en-GB" w:eastAsia="en-GB"/>
        </w:rPr>
        <w:fldChar w:fldCharType="end"/>
      </w:r>
      <w:r>
        <w:rPr>
          <w:lang w:val="en-GB" w:eastAsia="en-GB"/>
        </w:rPr>
        <w:t>)</w:t>
      </w:r>
    </w:p>
    <w:p w14:paraId="6DCE9593" w14:textId="77777777" w:rsidR="00C16E2F" w:rsidRDefault="00C16E2F" w:rsidP="00702EF8">
      <w:pPr>
        <w:pStyle w:val="Lijstalinea"/>
        <w:numPr>
          <w:ilvl w:val="0"/>
          <w:numId w:val="12"/>
        </w:numPr>
        <w:jc w:val="both"/>
        <w:rPr>
          <w:lang w:val="en-GB" w:eastAsia="en-GB"/>
        </w:rPr>
      </w:pPr>
      <w:r>
        <w:rPr>
          <w:lang w:val="en-GB" w:eastAsia="en-GB"/>
        </w:rPr>
        <w:t>Inclusive education: implementation and quality;</w:t>
      </w:r>
    </w:p>
    <w:p w14:paraId="294D1127" w14:textId="2D3D193D" w:rsidR="00C16E2F" w:rsidRDefault="00C16E2F" w:rsidP="00702EF8">
      <w:pPr>
        <w:pStyle w:val="Lijstalinea"/>
        <w:numPr>
          <w:ilvl w:val="0"/>
          <w:numId w:val="12"/>
        </w:numPr>
        <w:jc w:val="both"/>
        <w:rPr>
          <w:lang w:val="en-GB" w:eastAsia="en-GB"/>
        </w:rPr>
      </w:pPr>
      <w:r>
        <w:rPr>
          <w:lang w:val="en-GB" w:eastAsia="en-GB"/>
        </w:rPr>
        <w:t>Joint report ET 2020 (adoption at the 23 November Council) (see</w:t>
      </w:r>
      <w:r w:rsidR="00C82266">
        <w:rPr>
          <w:lang w:val="en-GB" w:eastAsia="en-GB"/>
        </w:rPr>
        <w:t xml:space="preserve"> </w:t>
      </w:r>
      <w:r w:rsidR="00C82266">
        <w:rPr>
          <w:lang w:val="en-GB" w:eastAsia="en-GB"/>
        </w:rPr>
        <w:fldChar w:fldCharType="begin"/>
      </w:r>
      <w:r w:rsidR="00C82266">
        <w:rPr>
          <w:lang w:val="en-GB" w:eastAsia="en-GB"/>
        </w:rPr>
        <w:instrText xml:space="preserve"> REF _Ref444160529 \r \h </w:instrText>
      </w:r>
      <w:r w:rsidR="00C82266">
        <w:rPr>
          <w:lang w:val="en-GB" w:eastAsia="en-GB"/>
        </w:rPr>
      </w:r>
      <w:r w:rsidR="00C82266">
        <w:rPr>
          <w:lang w:val="en-GB" w:eastAsia="en-GB"/>
        </w:rPr>
        <w:fldChar w:fldCharType="separate"/>
      </w:r>
      <w:r w:rsidR="00C82266">
        <w:rPr>
          <w:lang w:val="en-GB" w:eastAsia="en-GB"/>
        </w:rPr>
        <w:t>2.3</w:t>
      </w:r>
      <w:r w:rsidR="00C82266">
        <w:rPr>
          <w:lang w:val="en-GB" w:eastAsia="en-GB"/>
        </w:rPr>
        <w:fldChar w:fldCharType="end"/>
      </w:r>
      <w:r>
        <w:rPr>
          <w:lang w:val="en-GB" w:eastAsia="en-GB"/>
        </w:rPr>
        <w:t>)</w:t>
      </w:r>
    </w:p>
    <w:p w14:paraId="0C97DC9D" w14:textId="77777777" w:rsidR="00C16E2F" w:rsidRDefault="00C16E2F" w:rsidP="00702EF8">
      <w:pPr>
        <w:pStyle w:val="Lijstalinea"/>
        <w:numPr>
          <w:ilvl w:val="0"/>
          <w:numId w:val="12"/>
        </w:numPr>
        <w:jc w:val="both"/>
        <w:rPr>
          <w:lang w:val="en-GB" w:eastAsia="en-GB"/>
        </w:rPr>
      </w:pPr>
      <w:r>
        <w:rPr>
          <w:lang w:val="en-GB" w:eastAsia="en-GB"/>
        </w:rPr>
        <w:t>Youth Guarantee</w:t>
      </w:r>
    </w:p>
    <w:p w14:paraId="38F7258A" w14:textId="77777777" w:rsidR="00C16E2F" w:rsidRPr="00C16E2F" w:rsidRDefault="0069572D" w:rsidP="007A4137">
      <w:pPr>
        <w:jc w:val="both"/>
        <w:rPr>
          <w:lang w:val="en-GB" w:eastAsia="en-GB"/>
        </w:rPr>
      </w:pPr>
      <w:hyperlink r:id="rId23" w:history="1">
        <w:r w:rsidR="00C16E2F" w:rsidRPr="002572E3">
          <w:rPr>
            <w:rStyle w:val="Hyperlink"/>
            <w:lang w:val="en-GB" w:eastAsia="en-GB"/>
          </w:rPr>
          <w:t>www.eu2015lu.eu</w:t>
        </w:r>
      </w:hyperlink>
      <w:r w:rsidR="00C16E2F">
        <w:rPr>
          <w:lang w:val="en-GB" w:eastAsia="en-GB"/>
        </w:rPr>
        <w:t xml:space="preserve"> </w:t>
      </w:r>
    </w:p>
    <w:p w14:paraId="7C67E2F1" w14:textId="77777777" w:rsidR="007B6B64" w:rsidRDefault="007B6B64" w:rsidP="007A4137">
      <w:pPr>
        <w:pStyle w:val="Kop3"/>
        <w:jc w:val="both"/>
      </w:pPr>
      <w:bookmarkStart w:id="5" w:name="_Toc444869830"/>
      <w:r>
        <w:t>The Dutch Presidency of the EU</w:t>
      </w:r>
      <w:bookmarkEnd w:id="5"/>
    </w:p>
    <w:p w14:paraId="387A2027" w14:textId="77777777" w:rsidR="007B6B64" w:rsidRDefault="007B6B64" w:rsidP="007A4137">
      <w:pPr>
        <w:jc w:val="both"/>
        <w:rPr>
          <w:lang w:val="en-GB" w:eastAsia="en-GB"/>
        </w:rPr>
      </w:pPr>
      <w:r>
        <w:rPr>
          <w:lang w:val="en-GB" w:eastAsia="en-GB"/>
        </w:rPr>
        <w:t>January – June 2016</w:t>
      </w:r>
    </w:p>
    <w:p w14:paraId="40304186" w14:textId="77777777" w:rsidR="00A767AE" w:rsidRDefault="00A767AE" w:rsidP="00A767AE">
      <w:pPr>
        <w:jc w:val="both"/>
        <w:rPr>
          <w:lang w:val="en-GB" w:eastAsia="en-GB"/>
        </w:rPr>
      </w:pPr>
    </w:p>
    <w:p w14:paraId="164E84DA" w14:textId="77777777" w:rsidR="00A767AE" w:rsidRDefault="00A767AE" w:rsidP="00A767AE">
      <w:pPr>
        <w:pStyle w:val="Kop4"/>
      </w:pPr>
      <w:r>
        <w:t>The Presidency Trio</w:t>
      </w:r>
    </w:p>
    <w:p w14:paraId="5D4B6A7F" w14:textId="6E289AF1" w:rsidR="00A767AE" w:rsidRPr="00A767AE" w:rsidRDefault="00C16E2F" w:rsidP="00A767AE">
      <w:pPr>
        <w:jc w:val="both"/>
        <w:rPr>
          <w:lang w:val="en-GB" w:eastAsia="en-GB"/>
        </w:rPr>
      </w:pPr>
      <w:r>
        <w:rPr>
          <w:lang w:val="en-GB" w:eastAsia="en-GB"/>
        </w:rPr>
        <w:t xml:space="preserve">The Netherlands will work together in a trio with Slovakia and Malta. </w:t>
      </w:r>
      <w:r w:rsidR="00A767AE" w:rsidRPr="00F70054">
        <w:rPr>
          <w:lang w:val="en-GB" w:eastAsia="en-GB"/>
        </w:rPr>
        <w:t>The EU Presidency Trio states in its</w:t>
      </w:r>
      <w:hyperlink r:id="rId24" w:history="1">
        <w:r w:rsidR="00A767AE" w:rsidRPr="00F70054">
          <w:rPr>
            <w:rStyle w:val="Hyperlink"/>
            <w:lang w:val="en-GB" w:eastAsia="en-GB"/>
          </w:rPr>
          <w:t xml:space="preserve"> programme</w:t>
        </w:r>
      </w:hyperlink>
      <w:r w:rsidR="00A767AE" w:rsidRPr="00A767AE">
        <w:rPr>
          <w:lang w:val="en-GB" w:eastAsia="en-GB"/>
        </w:rPr>
        <w:t xml:space="preserve"> that ‘inclusive, smart and sustainable growth, jobs and competitiveness remain the top priority over the next 18 months.’</w:t>
      </w:r>
    </w:p>
    <w:p w14:paraId="31417908" w14:textId="77777777" w:rsidR="00A767AE" w:rsidRPr="00A767AE" w:rsidRDefault="00A767AE" w:rsidP="00A767AE">
      <w:pPr>
        <w:jc w:val="both"/>
        <w:rPr>
          <w:lang w:val="en-GB" w:eastAsia="en-GB"/>
        </w:rPr>
      </w:pPr>
      <w:r w:rsidRPr="00A767AE">
        <w:rPr>
          <w:lang w:val="en-GB" w:eastAsia="en-GB"/>
        </w:rPr>
        <w:lastRenderedPageBreak/>
        <w:t>Elaborating, the programme talks about ‘creating new green jobs’ and ‘promoting a climate in which SMEs thrive’ resulting in ‘the potential for the Union to generate further growth and create jobs.’</w:t>
      </w:r>
    </w:p>
    <w:p w14:paraId="37CCFB27" w14:textId="77777777" w:rsidR="00A767AE" w:rsidRPr="00A767AE" w:rsidRDefault="00A767AE" w:rsidP="00A767AE">
      <w:pPr>
        <w:jc w:val="both"/>
        <w:rPr>
          <w:lang w:val="en-GB" w:eastAsia="en-GB"/>
        </w:rPr>
      </w:pPr>
      <w:r w:rsidRPr="00A767AE">
        <w:rPr>
          <w:lang w:val="en-GB" w:eastAsia="en-GB"/>
        </w:rPr>
        <w:t>Unemployment remains a major concern in most Member States. Therefore, ‘proposals which help tackle unemployment and which open up opportunities for European citizens will be a key priority.’ The area of youth, long-term and structural unemployment, is singled out for particular attention with the launch of new initiatives.</w:t>
      </w:r>
    </w:p>
    <w:p w14:paraId="4DCBD970" w14:textId="77777777" w:rsidR="00A767AE" w:rsidRPr="00A767AE" w:rsidRDefault="00A767AE" w:rsidP="00A767AE">
      <w:pPr>
        <w:jc w:val="both"/>
        <w:rPr>
          <w:lang w:val="en-GB" w:eastAsia="en-GB"/>
        </w:rPr>
      </w:pPr>
      <w:r w:rsidRPr="00A767AE">
        <w:rPr>
          <w:lang w:val="en-GB" w:eastAsia="en-GB"/>
        </w:rPr>
        <w:t>The three Presidencies ‘are determined to work together on the forthcoming Labour Mobility Package removing the remaining obstacles to EU mobility.’</w:t>
      </w:r>
    </w:p>
    <w:p w14:paraId="20618876" w14:textId="77777777" w:rsidR="00A767AE" w:rsidRPr="00A767AE" w:rsidRDefault="00A767AE" w:rsidP="00A767AE">
      <w:pPr>
        <w:jc w:val="both"/>
        <w:rPr>
          <w:lang w:val="en-GB" w:eastAsia="en-GB"/>
        </w:rPr>
      </w:pPr>
      <w:r w:rsidRPr="00A767AE">
        <w:rPr>
          <w:lang w:val="en-GB" w:eastAsia="en-GB"/>
        </w:rPr>
        <w:t>A review of the youth guarantee implementation is among the priorities as is a proposal for a Council Recommendation on the integration of the long-term unemployed into the labour market.</w:t>
      </w:r>
    </w:p>
    <w:p w14:paraId="58BCEA7C" w14:textId="77777777" w:rsidR="00A767AE" w:rsidRPr="00A767AE" w:rsidRDefault="00A767AE" w:rsidP="00A767AE">
      <w:pPr>
        <w:jc w:val="both"/>
        <w:rPr>
          <w:lang w:val="en-GB" w:eastAsia="en-GB"/>
        </w:rPr>
      </w:pPr>
      <w:r w:rsidRPr="00A767AE">
        <w:rPr>
          <w:lang w:val="en-GB" w:eastAsia="en-GB"/>
        </w:rPr>
        <w:t>Related priorities include investment in human capital, education and skills, performance and innovation, which are essential for a competitive knowledge-based economy, and rapid measures to modernise educational systems and facilitate training and jobs for young people as well as develop lifelong learning.</w:t>
      </w:r>
    </w:p>
    <w:p w14:paraId="627C8C28" w14:textId="77777777" w:rsidR="00A767AE" w:rsidRPr="00A767AE" w:rsidRDefault="00A767AE" w:rsidP="00A767AE">
      <w:pPr>
        <w:jc w:val="both"/>
        <w:rPr>
          <w:lang w:val="en-GB" w:eastAsia="en-GB"/>
        </w:rPr>
      </w:pPr>
      <w:r w:rsidRPr="00A767AE">
        <w:rPr>
          <w:lang w:val="en-GB" w:eastAsia="en-GB"/>
        </w:rPr>
        <w:t>The Presidency Trio ‘will work on preserving Europe's social model in its various expressions.’ It will ‘focus on the role of inclusive high quality education for all in promoting social equity, social inclusion, citizenship and shared European values.’</w:t>
      </w:r>
    </w:p>
    <w:p w14:paraId="5F19D70F" w14:textId="77777777" w:rsidR="00A767AE" w:rsidRDefault="00A767AE" w:rsidP="00A767AE">
      <w:pPr>
        <w:jc w:val="both"/>
        <w:rPr>
          <w:lang w:val="en-GB" w:eastAsia="en-GB"/>
        </w:rPr>
      </w:pPr>
      <w:r w:rsidRPr="00A767AE">
        <w:rPr>
          <w:lang w:val="en-GB" w:eastAsia="en-GB"/>
        </w:rPr>
        <w:t>A priority in this context will be the new Skills Agenda for Europe.</w:t>
      </w:r>
    </w:p>
    <w:p w14:paraId="7D5C564D" w14:textId="77777777" w:rsidR="00A767AE" w:rsidRPr="00A767AE" w:rsidRDefault="00A767AE" w:rsidP="00A767AE">
      <w:pPr>
        <w:pStyle w:val="Kop4"/>
      </w:pPr>
      <w:r>
        <w:t>The Dutch Presidency</w:t>
      </w:r>
    </w:p>
    <w:p w14:paraId="5A67D1D7" w14:textId="77777777" w:rsidR="00A767AE" w:rsidRPr="00A767AE" w:rsidRDefault="00A767AE" w:rsidP="00A767AE">
      <w:pPr>
        <w:jc w:val="both"/>
        <w:rPr>
          <w:lang w:val="en-GB" w:eastAsia="en-GB"/>
        </w:rPr>
      </w:pPr>
      <w:r w:rsidRPr="00A767AE">
        <w:rPr>
          <w:lang w:val="en-GB" w:eastAsia="en-GB"/>
        </w:rPr>
        <w:t>The Netherlands holds the Presidency of the Council of the European Union from 1 January to 30 June 2016 and has presented, together with the Slovak and Maltese Presidencies that will follow, the Council's work programme for the period to June 2017.</w:t>
      </w:r>
    </w:p>
    <w:p w14:paraId="5BEA0756" w14:textId="77777777" w:rsidR="00A767AE" w:rsidRPr="00A767AE" w:rsidRDefault="00A767AE" w:rsidP="00A767AE">
      <w:pPr>
        <w:jc w:val="both"/>
        <w:rPr>
          <w:lang w:val="en-GB" w:eastAsia="en-GB"/>
        </w:rPr>
      </w:pPr>
      <w:r w:rsidRPr="00A767AE">
        <w:rPr>
          <w:lang w:val="en-GB" w:eastAsia="en-GB"/>
        </w:rPr>
        <w:t xml:space="preserve">The Netherlands Presidency will focus on the following priorities: </w:t>
      </w:r>
    </w:p>
    <w:p w14:paraId="3C284D1A" w14:textId="77777777" w:rsidR="00A767AE" w:rsidRPr="00A767AE" w:rsidRDefault="00A767AE" w:rsidP="00A767AE">
      <w:pPr>
        <w:jc w:val="both"/>
        <w:rPr>
          <w:lang w:val="en-GB" w:eastAsia="en-GB"/>
        </w:rPr>
      </w:pPr>
      <w:r w:rsidRPr="00A767AE">
        <w:rPr>
          <w:lang w:val="en-GB" w:eastAsia="en-GB"/>
        </w:rPr>
        <w:t xml:space="preserve">1. a comprehensive approach to migration and international security; </w:t>
      </w:r>
    </w:p>
    <w:p w14:paraId="7122B6A2" w14:textId="77777777" w:rsidR="00A767AE" w:rsidRPr="00A767AE" w:rsidRDefault="00A767AE" w:rsidP="00A767AE">
      <w:pPr>
        <w:jc w:val="both"/>
        <w:rPr>
          <w:lang w:val="en-GB" w:eastAsia="en-GB"/>
        </w:rPr>
      </w:pPr>
      <w:r w:rsidRPr="00A767AE">
        <w:rPr>
          <w:lang w:val="en-GB" w:eastAsia="en-GB"/>
        </w:rPr>
        <w:t xml:space="preserve">2. Europe as an innovator and job creator; </w:t>
      </w:r>
    </w:p>
    <w:p w14:paraId="5BC55D09" w14:textId="77777777" w:rsidR="00A767AE" w:rsidRPr="00A767AE" w:rsidRDefault="00A767AE" w:rsidP="00A767AE">
      <w:pPr>
        <w:jc w:val="both"/>
        <w:rPr>
          <w:lang w:val="en-GB" w:eastAsia="en-GB"/>
        </w:rPr>
      </w:pPr>
      <w:r w:rsidRPr="00A767AE">
        <w:rPr>
          <w:lang w:val="en-GB" w:eastAsia="en-GB"/>
        </w:rPr>
        <w:t xml:space="preserve">3. sound, future-proof European finances and a robust eurozone; </w:t>
      </w:r>
    </w:p>
    <w:p w14:paraId="3D8F0999" w14:textId="77777777" w:rsidR="00A767AE" w:rsidRPr="00A767AE" w:rsidRDefault="00A767AE" w:rsidP="00A767AE">
      <w:pPr>
        <w:jc w:val="both"/>
        <w:rPr>
          <w:lang w:val="en-GB" w:eastAsia="en-GB"/>
        </w:rPr>
      </w:pPr>
      <w:r w:rsidRPr="00A767AE">
        <w:rPr>
          <w:lang w:val="en-GB" w:eastAsia="en-GB"/>
        </w:rPr>
        <w:t>4. forward-looking policy on climate and energy.</w:t>
      </w:r>
    </w:p>
    <w:p w14:paraId="336FF891" w14:textId="77777777" w:rsidR="00A767AE" w:rsidRDefault="00A767AE" w:rsidP="00A767AE">
      <w:pPr>
        <w:jc w:val="both"/>
        <w:rPr>
          <w:lang w:val="en-GB" w:eastAsia="en-GB"/>
        </w:rPr>
      </w:pPr>
      <w:r w:rsidRPr="00A767AE">
        <w:rPr>
          <w:lang w:val="en-GB" w:eastAsia="en-GB"/>
        </w:rPr>
        <w:t xml:space="preserve">As stated on the </w:t>
      </w:r>
      <w:hyperlink r:id="rId25" w:history="1">
        <w:r w:rsidRPr="00A767AE">
          <w:rPr>
            <w:rStyle w:val="Hyperlink"/>
            <w:lang w:val="en-GB" w:eastAsia="en-GB"/>
          </w:rPr>
          <w:t>Netherlands Presidency’s website homepage,</w:t>
        </w:r>
      </w:hyperlink>
      <w:r w:rsidRPr="00A767AE">
        <w:rPr>
          <w:lang w:val="en-GB" w:eastAsia="en-GB"/>
        </w:rPr>
        <w:t xml:space="preserve"> ‘it wants a Union that focuses on the essentials, creates growth and jobs through innovation, and connects with civil society.’</w:t>
      </w:r>
    </w:p>
    <w:p w14:paraId="699F9F2D" w14:textId="37D00ED3" w:rsidR="00A767AE" w:rsidRPr="00A767AE" w:rsidRDefault="00A767AE" w:rsidP="00A767AE">
      <w:pPr>
        <w:jc w:val="both"/>
        <w:rPr>
          <w:lang w:val="en-GB" w:eastAsia="en-GB"/>
        </w:rPr>
      </w:pPr>
      <w:r w:rsidRPr="00A767AE">
        <w:rPr>
          <w:lang w:val="en-GB" w:eastAsia="en-GB"/>
        </w:rPr>
        <w:t xml:space="preserve">The European Commission announced a </w:t>
      </w:r>
      <w:r w:rsidRPr="00A767AE">
        <w:rPr>
          <w:b/>
          <w:bCs/>
          <w:lang w:val="en-GB" w:eastAsia="en-GB"/>
        </w:rPr>
        <w:t xml:space="preserve">new Skills Agenda </w:t>
      </w:r>
      <w:r w:rsidRPr="00A767AE">
        <w:rPr>
          <w:lang w:val="en-GB" w:eastAsia="en-GB"/>
        </w:rPr>
        <w:t>in its 2016 Work Programme</w:t>
      </w:r>
      <w:r w:rsidR="00103812">
        <w:rPr>
          <w:lang w:val="en-GB" w:eastAsia="en-GB"/>
        </w:rPr>
        <w:t xml:space="preserve"> (see </w:t>
      </w:r>
      <w:r w:rsidR="00103812">
        <w:rPr>
          <w:lang w:val="en-GB" w:eastAsia="en-GB"/>
        </w:rPr>
        <w:fldChar w:fldCharType="begin"/>
      </w:r>
      <w:r w:rsidR="00103812">
        <w:rPr>
          <w:lang w:val="en-GB" w:eastAsia="en-GB"/>
        </w:rPr>
        <w:instrText xml:space="preserve"> REF _Ref444160869 \r \h </w:instrText>
      </w:r>
      <w:r w:rsidR="00103812">
        <w:rPr>
          <w:lang w:val="en-GB" w:eastAsia="en-GB"/>
        </w:rPr>
      </w:r>
      <w:r w:rsidR="00103812">
        <w:rPr>
          <w:lang w:val="en-GB" w:eastAsia="en-GB"/>
        </w:rPr>
        <w:fldChar w:fldCharType="separate"/>
      </w:r>
      <w:r w:rsidR="00103812">
        <w:rPr>
          <w:lang w:val="en-GB" w:eastAsia="en-GB"/>
        </w:rPr>
        <w:t>2.9</w:t>
      </w:r>
      <w:r w:rsidR="00103812">
        <w:rPr>
          <w:lang w:val="en-GB" w:eastAsia="en-GB"/>
        </w:rPr>
        <w:fldChar w:fldCharType="end"/>
      </w:r>
      <w:r w:rsidR="00103812">
        <w:rPr>
          <w:lang w:val="en-GB" w:eastAsia="en-GB"/>
        </w:rPr>
        <w:t>)</w:t>
      </w:r>
      <w:r w:rsidRPr="00A767AE">
        <w:rPr>
          <w:lang w:val="en-GB" w:eastAsia="en-GB"/>
        </w:rPr>
        <w:t xml:space="preserve">. The new agenda, which will be discussed by this Council, will promote investment in skills development so </w:t>
      </w:r>
      <w:r w:rsidRPr="00A767AE">
        <w:rPr>
          <w:lang w:val="en-GB" w:eastAsia="en-GB"/>
        </w:rPr>
        <w:lastRenderedPageBreak/>
        <w:t>that workers are better equipped to deal with the changing labour market and society. The Netherlands Presidency will also address the mutual recognition of qualifications, which will support vocational training and higher education and help realise the full potential of digital jobs.</w:t>
      </w:r>
    </w:p>
    <w:p w14:paraId="2BAA6CA6" w14:textId="77777777" w:rsidR="00A767AE" w:rsidRDefault="00A767AE" w:rsidP="00A767AE">
      <w:pPr>
        <w:jc w:val="both"/>
        <w:rPr>
          <w:lang w:val="en-GB" w:eastAsia="en-GB"/>
        </w:rPr>
      </w:pPr>
      <w:r w:rsidRPr="00A767AE">
        <w:rPr>
          <w:lang w:val="en-GB" w:eastAsia="en-GB"/>
        </w:rPr>
        <w:t xml:space="preserve">Furthermore, the Netherlands Presidency will seek to encourage debate on the role of education in the </w:t>
      </w:r>
      <w:r w:rsidRPr="00A767AE">
        <w:rPr>
          <w:b/>
          <w:bCs/>
          <w:lang w:val="en-GB" w:eastAsia="en-GB"/>
        </w:rPr>
        <w:t xml:space="preserve">reception and integration of migrants </w:t>
      </w:r>
      <w:r w:rsidRPr="00A767AE">
        <w:rPr>
          <w:lang w:val="en-GB" w:eastAsia="en-GB"/>
        </w:rPr>
        <w:t xml:space="preserve">and the role of education and youth work in combating </w:t>
      </w:r>
      <w:r w:rsidRPr="00A767AE">
        <w:rPr>
          <w:b/>
          <w:bCs/>
          <w:lang w:val="en-GB" w:eastAsia="en-GB"/>
        </w:rPr>
        <w:t>youth radicalisation</w:t>
      </w:r>
      <w:r w:rsidRPr="00A767AE">
        <w:rPr>
          <w:lang w:val="en-GB" w:eastAsia="en-GB"/>
        </w:rPr>
        <w:t xml:space="preserve">. This will be coordinated with the conclusions of the Luxembourg Presidency, current developments and any Commission initiatives. </w:t>
      </w:r>
    </w:p>
    <w:p w14:paraId="4416D3FA" w14:textId="77777777" w:rsidR="00A767AE" w:rsidRDefault="0069572D" w:rsidP="00A767AE">
      <w:pPr>
        <w:jc w:val="both"/>
        <w:rPr>
          <w:lang w:val="en-GB" w:eastAsia="en-GB"/>
        </w:rPr>
      </w:pPr>
      <w:hyperlink r:id="rId26" w:history="1">
        <w:r w:rsidR="00A767AE" w:rsidRPr="00A767AE">
          <w:rPr>
            <w:rStyle w:val="Hyperlink"/>
            <w:lang w:val="en-GB" w:eastAsia="en-GB"/>
          </w:rPr>
          <w:t>Programme of the Netherlands EU Presidency</w:t>
        </w:r>
      </w:hyperlink>
      <w:r w:rsidR="00A767AE" w:rsidRPr="00A767AE">
        <w:rPr>
          <w:lang w:val="en-GB" w:eastAsia="en-GB"/>
        </w:rPr>
        <w:t xml:space="preserve"> </w:t>
      </w:r>
    </w:p>
    <w:p w14:paraId="3ACEF616" w14:textId="77777777" w:rsidR="00245496" w:rsidRDefault="00245496" w:rsidP="00103812">
      <w:pPr>
        <w:pStyle w:val="Kop1"/>
        <w:rPr>
          <w:rFonts w:eastAsia="Times New Roman"/>
        </w:rPr>
      </w:pPr>
      <w:bookmarkStart w:id="6" w:name="_Toc444869831"/>
      <w:r w:rsidRPr="00245496">
        <w:rPr>
          <w:rFonts w:eastAsia="Times New Roman"/>
        </w:rPr>
        <w:t>Education and training</w:t>
      </w:r>
      <w:bookmarkEnd w:id="6"/>
      <w:r w:rsidRPr="00245496">
        <w:rPr>
          <w:rFonts w:eastAsia="Times New Roman"/>
        </w:rPr>
        <w:t xml:space="preserve"> </w:t>
      </w:r>
    </w:p>
    <w:p w14:paraId="043C36C3" w14:textId="0655B4CF" w:rsidR="00103812" w:rsidRPr="00103812" w:rsidRDefault="00103812" w:rsidP="00103812">
      <w:pPr>
        <w:pStyle w:val="Kop2"/>
      </w:pPr>
      <w:bookmarkStart w:id="7" w:name="_Toc444869832"/>
      <w:r>
        <w:t>Council meetings</w:t>
      </w:r>
      <w:bookmarkEnd w:id="7"/>
    </w:p>
    <w:p w14:paraId="30C382C9" w14:textId="45881212" w:rsidR="00A57789" w:rsidRDefault="00A57789" w:rsidP="00103812">
      <w:pPr>
        <w:pStyle w:val="Kop3"/>
      </w:pPr>
      <w:bookmarkStart w:id="8" w:name="_Toc444869833"/>
      <w:r w:rsidRPr="002005BF">
        <w:t>Educa</w:t>
      </w:r>
      <w:r w:rsidR="00F328B6">
        <w:t>tion, Youth, Culture and Sport C</w:t>
      </w:r>
      <w:r w:rsidRPr="002005BF">
        <w:t>ouncil</w:t>
      </w:r>
      <w:r w:rsidR="00103812">
        <w:t xml:space="preserve"> November 2015</w:t>
      </w:r>
      <w:bookmarkEnd w:id="8"/>
    </w:p>
    <w:p w14:paraId="577D15DC" w14:textId="77777777" w:rsidR="008A59C4" w:rsidRDefault="007B6B64" w:rsidP="007A4137">
      <w:pPr>
        <w:jc w:val="both"/>
        <w:rPr>
          <w:lang w:val="en-GB" w:eastAsia="en-GB"/>
        </w:rPr>
      </w:pPr>
      <w:r>
        <w:rPr>
          <w:lang w:val="en-GB" w:eastAsia="en-GB"/>
        </w:rPr>
        <w:t>23</w:t>
      </w:r>
      <w:r w:rsidR="008A59C4">
        <w:rPr>
          <w:lang w:val="en-GB" w:eastAsia="en-GB"/>
        </w:rPr>
        <w:t xml:space="preserve"> November 2015</w:t>
      </w:r>
    </w:p>
    <w:p w14:paraId="74BC85A4" w14:textId="77777777" w:rsidR="00F328B6" w:rsidRDefault="00F328B6" w:rsidP="007A4137">
      <w:pPr>
        <w:jc w:val="both"/>
        <w:rPr>
          <w:lang w:val="en-GB" w:eastAsia="en-GB"/>
        </w:rPr>
      </w:pPr>
      <w:r>
        <w:rPr>
          <w:lang w:val="en-GB" w:eastAsia="en-GB"/>
        </w:rPr>
        <w:t>At the agenda:</w:t>
      </w:r>
    </w:p>
    <w:p w14:paraId="7F5FD3EB" w14:textId="77777777" w:rsidR="007B6B64" w:rsidRDefault="007B6B64" w:rsidP="00702EF8">
      <w:pPr>
        <w:pStyle w:val="Lijstalinea"/>
        <w:numPr>
          <w:ilvl w:val="0"/>
          <w:numId w:val="11"/>
        </w:numPr>
        <w:jc w:val="both"/>
        <w:rPr>
          <w:lang w:val="en-GB" w:eastAsia="en-GB"/>
        </w:rPr>
      </w:pPr>
      <w:r>
        <w:rPr>
          <w:lang w:val="en-GB" w:eastAsia="en-GB"/>
        </w:rPr>
        <w:t>The promotion of language learning and inclusion with the focus on high-quality early childhood education and care</w:t>
      </w:r>
    </w:p>
    <w:p w14:paraId="1A51DB94" w14:textId="77777777" w:rsidR="007B6B64" w:rsidRPr="007B6B64" w:rsidRDefault="007B6B64" w:rsidP="007A4137">
      <w:pPr>
        <w:jc w:val="both"/>
        <w:rPr>
          <w:lang w:val="en-GB" w:eastAsia="en-GB"/>
        </w:rPr>
      </w:pPr>
      <w:r>
        <w:rPr>
          <w:lang w:val="en-GB" w:eastAsia="en-GB"/>
        </w:rPr>
        <w:t xml:space="preserve">Ministers discussed during working lunch how to foster general access and at the same time ensure high quality early childhood education and care. </w:t>
      </w:r>
    </w:p>
    <w:p w14:paraId="51618452" w14:textId="77777777" w:rsidR="00F328B6" w:rsidRDefault="00F328B6" w:rsidP="00702EF8">
      <w:pPr>
        <w:pStyle w:val="Lijstalinea"/>
        <w:numPr>
          <w:ilvl w:val="0"/>
          <w:numId w:val="11"/>
        </w:numPr>
        <w:jc w:val="both"/>
        <w:rPr>
          <w:lang w:val="en-GB" w:eastAsia="en-GB"/>
        </w:rPr>
      </w:pPr>
      <w:r>
        <w:rPr>
          <w:lang w:val="en-GB" w:eastAsia="en-GB"/>
        </w:rPr>
        <w:t>The Paris declaration</w:t>
      </w:r>
    </w:p>
    <w:p w14:paraId="251E298A" w14:textId="77777777" w:rsidR="00F328B6" w:rsidRDefault="00F328B6" w:rsidP="007A4137">
      <w:pPr>
        <w:jc w:val="both"/>
        <w:rPr>
          <w:lang w:val="en-GB" w:eastAsia="en-GB"/>
        </w:rPr>
      </w:pPr>
      <w:r>
        <w:rPr>
          <w:lang w:val="en-GB" w:eastAsia="en-GB"/>
        </w:rPr>
        <w:t xml:space="preserve">Most ministers acknowledged the importance of education in preventing exclusion and radicalisation, but several ministers pointed out that it cannot be the only answer: employment, health and cultural aspects must be addressed also. </w:t>
      </w:r>
      <w:r w:rsidR="00816FDD">
        <w:rPr>
          <w:lang w:val="en-GB" w:eastAsia="en-GB"/>
        </w:rPr>
        <w:t>Ministers underlined the relevance of the Paris declaration of March 2015. The French delegation underlined the need to maintain the political momentum by making it a long-term commitment under Erasmus+ and in the framework of ET2020.</w:t>
      </w:r>
    </w:p>
    <w:p w14:paraId="112C4E41" w14:textId="77777777" w:rsidR="00816FDD" w:rsidRDefault="00816FDD" w:rsidP="007A4137">
      <w:pPr>
        <w:jc w:val="both"/>
        <w:rPr>
          <w:lang w:val="en-GB" w:eastAsia="en-GB"/>
        </w:rPr>
      </w:pPr>
      <w:r>
        <w:rPr>
          <w:lang w:val="en-GB" w:eastAsia="en-GB"/>
        </w:rPr>
        <w:t xml:space="preserve">The Commission recalled that it had highlighted the key role of education and youth in promoting common European values in its communication on a </w:t>
      </w:r>
      <w:hyperlink r:id="rId27" w:history="1">
        <w:r w:rsidRPr="00816FDD">
          <w:rPr>
            <w:rStyle w:val="Hyperlink"/>
            <w:lang w:val="en-GB" w:eastAsia="en-GB"/>
          </w:rPr>
          <w:t>European Agenda for Security.</w:t>
        </w:r>
      </w:hyperlink>
      <w:r>
        <w:rPr>
          <w:lang w:val="en-GB" w:eastAsia="en-GB"/>
        </w:rPr>
        <w:t xml:space="preserve"> (5 May 2015)</w:t>
      </w:r>
    </w:p>
    <w:p w14:paraId="6BC2D326" w14:textId="77777777" w:rsidR="00816FDD" w:rsidRDefault="00816FDD" w:rsidP="00702EF8">
      <w:pPr>
        <w:pStyle w:val="Lijstalinea"/>
        <w:numPr>
          <w:ilvl w:val="0"/>
          <w:numId w:val="11"/>
        </w:numPr>
        <w:jc w:val="both"/>
        <w:rPr>
          <w:lang w:val="en-GB" w:eastAsia="en-GB"/>
        </w:rPr>
      </w:pPr>
      <w:r>
        <w:rPr>
          <w:lang w:val="en-GB" w:eastAsia="en-GB"/>
        </w:rPr>
        <w:t>The Joint report on the implementation of ET2020</w:t>
      </w:r>
    </w:p>
    <w:p w14:paraId="2C2B5A35" w14:textId="01EF8E8F" w:rsidR="00816FDD" w:rsidRDefault="00816FDD" w:rsidP="007A4137">
      <w:pPr>
        <w:jc w:val="both"/>
        <w:rPr>
          <w:lang w:val="en-GB" w:eastAsia="en-GB"/>
        </w:rPr>
      </w:pPr>
      <w:r>
        <w:rPr>
          <w:lang w:val="en-GB" w:eastAsia="en-GB"/>
        </w:rPr>
        <w:t xml:space="preserve">The council adopted the </w:t>
      </w:r>
      <w:r w:rsidR="00A05AC0">
        <w:rPr>
          <w:lang w:val="en-GB" w:eastAsia="en-GB"/>
        </w:rPr>
        <w:t>2015 Joint Report (see</w:t>
      </w:r>
      <w:r w:rsidR="00103812">
        <w:rPr>
          <w:lang w:val="en-GB" w:eastAsia="en-GB"/>
        </w:rPr>
        <w:t xml:space="preserve"> </w:t>
      </w:r>
      <w:r w:rsidR="00103812">
        <w:rPr>
          <w:lang w:val="en-GB" w:eastAsia="en-GB"/>
        </w:rPr>
        <w:fldChar w:fldCharType="begin"/>
      </w:r>
      <w:r w:rsidR="00103812">
        <w:rPr>
          <w:lang w:val="en-GB" w:eastAsia="en-GB"/>
        </w:rPr>
        <w:instrText xml:space="preserve"> REF _Ref444160529 \r \h </w:instrText>
      </w:r>
      <w:r w:rsidR="00103812">
        <w:rPr>
          <w:lang w:val="en-GB" w:eastAsia="en-GB"/>
        </w:rPr>
      </w:r>
      <w:r w:rsidR="00103812">
        <w:rPr>
          <w:lang w:val="en-GB" w:eastAsia="en-GB"/>
        </w:rPr>
        <w:fldChar w:fldCharType="separate"/>
      </w:r>
      <w:r w:rsidR="00103812">
        <w:rPr>
          <w:lang w:val="en-GB" w:eastAsia="en-GB"/>
        </w:rPr>
        <w:t>1.3</w:t>
      </w:r>
      <w:r w:rsidR="00103812">
        <w:rPr>
          <w:lang w:val="en-GB" w:eastAsia="en-GB"/>
        </w:rPr>
        <w:fldChar w:fldCharType="end"/>
      </w:r>
      <w:r w:rsidR="00A05AC0">
        <w:rPr>
          <w:lang w:val="en-GB" w:eastAsia="en-GB"/>
        </w:rPr>
        <w:t>)</w:t>
      </w:r>
    </w:p>
    <w:p w14:paraId="16307168" w14:textId="77777777" w:rsidR="00816FDD" w:rsidRDefault="00816FDD" w:rsidP="00702EF8">
      <w:pPr>
        <w:pStyle w:val="Lijstalinea"/>
        <w:numPr>
          <w:ilvl w:val="0"/>
          <w:numId w:val="11"/>
        </w:numPr>
        <w:jc w:val="both"/>
        <w:rPr>
          <w:lang w:val="en-GB" w:eastAsia="en-GB"/>
        </w:rPr>
      </w:pPr>
      <w:r>
        <w:rPr>
          <w:lang w:val="en-GB" w:eastAsia="en-GB"/>
        </w:rPr>
        <w:t xml:space="preserve">Reducing Early School Leaving </w:t>
      </w:r>
    </w:p>
    <w:p w14:paraId="5B7B6790" w14:textId="02C0CB5E" w:rsidR="00816FDD" w:rsidRDefault="00816FDD" w:rsidP="007A4137">
      <w:pPr>
        <w:jc w:val="both"/>
        <w:rPr>
          <w:lang w:val="en-GB" w:eastAsia="en-GB"/>
        </w:rPr>
      </w:pPr>
      <w:r>
        <w:rPr>
          <w:lang w:val="en-GB" w:eastAsia="en-GB"/>
        </w:rPr>
        <w:t>The Council adopted conclusions on reducing early school leaving and promoting success in school (see</w:t>
      </w:r>
      <w:r w:rsidR="00103812">
        <w:rPr>
          <w:lang w:val="en-GB" w:eastAsia="en-GB"/>
        </w:rPr>
        <w:t xml:space="preserve"> </w:t>
      </w:r>
      <w:r w:rsidR="00103812">
        <w:rPr>
          <w:lang w:val="en-GB" w:eastAsia="en-GB"/>
        </w:rPr>
        <w:fldChar w:fldCharType="begin"/>
      </w:r>
      <w:r w:rsidR="00103812">
        <w:rPr>
          <w:lang w:val="en-GB" w:eastAsia="en-GB"/>
        </w:rPr>
        <w:instrText xml:space="preserve"> REF _Ref444160467 \r \h </w:instrText>
      </w:r>
      <w:r w:rsidR="00103812">
        <w:rPr>
          <w:lang w:val="en-GB" w:eastAsia="en-GB"/>
        </w:rPr>
      </w:r>
      <w:r w:rsidR="00103812">
        <w:rPr>
          <w:lang w:val="en-GB" w:eastAsia="en-GB"/>
        </w:rPr>
        <w:fldChar w:fldCharType="separate"/>
      </w:r>
      <w:r w:rsidR="00103812">
        <w:rPr>
          <w:lang w:val="en-GB" w:eastAsia="en-GB"/>
        </w:rPr>
        <w:t>1.4</w:t>
      </w:r>
      <w:r w:rsidR="00103812">
        <w:rPr>
          <w:lang w:val="en-GB" w:eastAsia="en-GB"/>
        </w:rPr>
        <w:fldChar w:fldCharType="end"/>
      </w:r>
      <w:r>
        <w:rPr>
          <w:lang w:val="en-GB" w:eastAsia="en-GB"/>
        </w:rPr>
        <w:t xml:space="preserve">). </w:t>
      </w:r>
    </w:p>
    <w:p w14:paraId="2840F5C7" w14:textId="77777777" w:rsidR="00816FDD" w:rsidRDefault="00816FDD" w:rsidP="00702EF8">
      <w:pPr>
        <w:pStyle w:val="Lijstalinea"/>
        <w:numPr>
          <w:ilvl w:val="0"/>
          <w:numId w:val="11"/>
        </w:numPr>
        <w:jc w:val="both"/>
        <w:rPr>
          <w:lang w:val="en-GB" w:eastAsia="en-GB"/>
        </w:rPr>
      </w:pPr>
      <w:r>
        <w:rPr>
          <w:lang w:val="en-GB" w:eastAsia="en-GB"/>
        </w:rPr>
        <w:t>Education and migration</w:t>
      </w:r>
    </w:p>
    <w:p w14:paraId="5F218D70" w14:textId="77777777" w:rsidR="00816FDD" w:rsidRPr="00816FDD" w:rsidRDefault="00816FDD" w:rsidP="007A4137">
      <w:pPr>
        <w:jc w:val="both"/>
        <w:rPr>
          <w:lang w:val="en-GB" w:eastAsia="en-GB"/>
        </w:rPr>
      </w:pPr>
      <w:r>
        <w:rPr>
          <w:lang w:val="en-GB" w:eastAsia="en-GB"/>
        </w:rPr>
        <w:t xml:space="preserve">Ministers discussed strategies for integrating recently arrived migrants and people with a migrant background. Ministers agreed to focus on the following issues: ensuring effective learning of the language(s) of the host country; speeding up assessment and validation of prior qualifications; promoting European common values systematically at all levels of education; avoiding geographical concentration of migrants; preparing teachers and trainers – but also learners and parents – for more multicultural diversity in the learning environment; increasing the exchange of best practices among member states. </w:t>
      </w:r>
    </w:p>
    <w:p w14:paraId="1BB890EE" w14:textId="18D37360" w:rsidR="00B87F95" w:rsidRDefault="0069572D" w:rsidP="007A4137">
      <w:pPr>
        <w:jc w:val="both"/>
        <w:rPr>
          <w:lang w:val="en-GB" w:eastAsia="en-GB"/>
        </w:rPr>
      </w:pPr>
      <w:hyperlink r:id="rId28" w:history="1">
        <w:r w:rsidR="008A59C4" w:rsidRPr="008A59C4">
          <w:rPr>
            <w:rStyle w:val="Hyperlink"/>
            <w:lang w:val="en-GB" w:eastAsia="en-GB"/>
          </w:rPr>
          <w:t>Main results of the council</w:t>
        </w:r>
      </w:hyperlink>
      <w:r w:rsidR="008A59C4">
        <w:rPr>
          <w:lang w:val="en-GB" w:eastAsia="en-GB"/>
        </w:rPr>
        <w:t xml:space="preserve"> </w:t>
      </w:r>
    </w:p>
    <w:p w14:paraId="592E0257" w14:textId="30A93F69" w:rsidR="00B87F95" w:rsidRDefault="00B87F95" w:rsidP="00103812">
      <w:pPr>
        <w:pStyle w:val="Kop3"/>
      </w:pPr>
      <w:bookmarkStart w:id="9" w:name="_Toc444869834"/>
      <w:r w:rsidRPr="002005BF">
        <w:t>Educa</w:t>
      </w:r>
      <w:r>
        <w:t>tion, Youth, Culture and Sport C</w:t>
      </w:r>
      <w:r w:rsidRPr="002005BF">
        <w:t>ouncil</w:t>
      </w:r>
      <w:r w:rsidR="00103812">
        <w:t xml:space="preserve"> February 2016</w:t>
      </w:r>
      <w:bookmarkEnd w:id="9"/>
    </w:p>
    <w:p w14:paraId="4E2FE51E" w14:textId="77777777" w:rsidR="00153AA2" w:rsidRDefault="00B87F95" w:rsidP="007A4137">
      <w:pPr>
        <w:jc w:val="both"/>
        <w:rPr>
          <w:lang w:val="en-GB" w:eastAsia="en-GB"/>
        </w:rPr>
      </w:pPr>
      <w:r>
        <w:rPr>
          <w:lang w:val="en-GB" w:eastAsia="en-GB"/>
        </w:rPr>
        <w:t>24 February 2016</w:t>
      </w:r>
    </w:p>
    <w:p w14:paraId="0E83E47E" w14:textId="6B3360A3" w:rsidR="00153AA2" w:rsidRDefault="00C2654E" w:rsidP="007A4137">
      <w:pPr>
        <w:jc w:val="both"/>
        <w:rPr>
          <w:lang w:val="en-GB" w:eastAsia="en-GB"/>
        </w:rPr>
      </w:pPr>
      <w:r>
        <w:rPr>
          <w:lang w:val="en-GB" w:eastAsia="en-GB"/>
        </w:rPr>
        <w:t>The meeting was</w:t>
      </w:r>
      <w:r w:rsidR="00153AA2" w:rsidRPr="00153AA2">
        <w:rPr>
          <w:lang w:val="en-GB" w:eastAsia="en-GB"/>
        </w:rPr>
        <w:t xml:space="preserve"> chaired by the Minister for Education, Culture and Science of the Netherlands, Ms Jet Bu</w:t>
      </w:r>
      <w:r>
        <w:rPr>
          <w:lang w:val="en-GB" w:eastAsia="en-GB"/>
        </w:rPr>
        <w:t>ssemaker. The Commission was</w:t>
      </w:r>
      <w:r w:rsidR="00153AA2" w:rsidRPr="00153AA2">
        <w:rPr>
          <w:lang w:val="en-GB" w:eastAsia="en-GB"/>
        </w:rPr>
        <w:t xml:space="preserve"> represented by Commissioner Tibor Navracsics and Com</w:t>
      </w:r>
      <w:r w:rsidR="00153AA2">
        <w:rPr>
          <w:lang w:val="en-GB" w:eastAsia="en-GB"/>
        </w:rPr>
        <w:t xml:space="preserve">missioner Marianne Thyssen </w:t>
      </w:r>
      <w:r w:rsidR="00153AA2" w:rsidRPr="00153AA2">
        <w:rPr>
          <w:lang w:val="en-GB" w:eastAsia="en-GB"/>
        </w:rPr>
        <w:t>participate</w:t>
      </w:r>
      <w:r w:rsidR="00153AA2">
        <w:rPr>
          <w:lang w:val="en-GB" w:eastAsia="en-GB"/>
        </w:rPr>
        <w:t>d</w:t>
      </w:r>
      <w:r w:rsidR="00153AA2" w:rsidRPr="00153AA2">
        <w:rPr>
          <w:lang w:val="en-GB" w:eastAsia="en-GB"/>
        </w:rPr>
        <w:t xml:space="preserve"> in the policy debate on skills.</w:t>
      </w:r>
    </w:p>
    <w:p w14:paraId="513A5F83" w14:textId="7276C2B8" w:rsidR="00153AA2" w:rsidRDefault="00153AA2" w:rsidP="007A4137">
      <w:pPr>
        <w:jc w:val="both"/>
        <w:rPr>
          <w:lang w:val="en-GB" w:eastAsia="en-GB"/>
        </w:rPr>
      </w:pPr>
      <w:r>
        <w:rPr>
          <w:lang w:val="en-GB" w:eastAsia="en-GB"/>
        </w:rPr>
        <w:t xml:space="preserve">The Council was </w:t>
      </w:r>
      <w:r w:rsidRPr="00153AA2">
        <w:rPr>
          <w:lang w:val="en-GB" w:eastAsia="en-GB"/>
        </w:rPr>
        <w:t>preceded by a working lu</w:t>
      </w:r>
      <w:r>
        <w:rPr>
          <w:lang w:val="en-GB" w:eastAsia="en-GB"/>
        </w:rPr>
        <w:t xml:space="preserve">nch during which ministers </w:t>
      </w:r>
      <w:r w:rsidRPr="00153AA2">
        <w:rPr>
          <w:lang w:val="en-GB" w:eastAsia="en-GB"/>
        </w:rPr>
        <w:t>address</w:t>
      </w:r>
      <w:r>
        <w:rPr>
          <w:lang w:val="en-GB" w:eastAsia="en-GB"/>
        </w:rPr>
        <w:t>ed</w:t>
      </w:r>
      <w:r w:rsidR="00103812">
        <w:rPr>
          <w:lang w:val="en-GB" w:eastAsia="en-GB"/>
        </w:rPr>
        <w:t xml:space="preserve"> the subject ‘</w:t>
      </w:r>
      <w:r w:rsidRPr="00153AA2">
        <w:rPr>
          <w:lang w:val="en-GB" w:eastAsia="en-GB"/>
        </w:rPr>
        <w:t>E</w:t>
      </w:r>
      <w:r w:rsidR="00103812">
        <w:rPr>
          <w:lang w:val="en-GB" w:eastAsia="en-GB"/>
        </w:rPr>
        <w:t>ducation and the refugee crisis’</w:t>
      </w:r>
      <w:r w:rsidRPr="00153AA2">
        <w:rPr>
          <w:lang w:val="en-GB" w:eastAsia="en-GB"/>
        </w:rPr>
        <w:t xml:space="preserve">, focusing on the role of citizenship and language education. </w:t>
      </w:r>
    </w:p>
    <w:p w14:paraId="3AB7D335" w14:textId="2ADDD248" w:rsidR="00A05AC0" w:rsidRDefault="00A05AC0" w:rsidP="00702EF8">
      <w:pPr>
        <w:jc w:val="both"/>
        <w:rPr>
          <w:lang w:val="en-GB"/>
        </w:rPr>
      </w:pPr>
      <w:r w:rsidRPr="00A05AC0">
        <w:rPr>
          <w:lang w:val="en-GB"/>
        </w:rPr>
        <w:t>T</w:t>
      </w:r>
      <w:r>
        <w:rPr>
          <w:lang w:val="en-GB"/>
        </w:rPr>
        <w:t xml:space="preserve">he Council </w:t>
      </w:r>
      <w:r w:rsidRPr="00A05AC0">
        <w:rPr>
          <w:lang w:val="en-GB"/>
        </w:rPr>
        <w:t xml:space="preserve">adopted a resolution on </w:t>
      </w:r>
      <w:r w:rsidRPr="005D1FA9">
        <w:rPr>
          <w:lang w:val="en-GB"/>
        </w:rPr>
        <w:t>promoting socio-economic development and inclusiveness</w:t>
      </w:r>
      <w:r w:rsidR="005D1FA9">
        <w:rPr>
          <w:lang w:val="en-GB"/>
        </w:rPr>
        <w:t xml:space="preserve"> through education (see also</w:t>
      </w:r>
      <w:r w:rsidR="00103812">
        <w:rPr>
          <w:lang w:val="en-GB"/>
        </w:rPr>
        <w:t xml:space="preserve"> </w:t>
      </w:r>
      <w:r w:rsidR="00103812">
        <w:rPr>
          <w:lang w:val="en-GB"/>
        </w:rPr>
        <w:fldChar w:fldCharType="begin"/>
      </w:r>
      <w:r w:rsidR="00103812">
        <w:rPr>
          <w:lang w:val="en-GB"/>
        </w:rPr>
        <w:instrText xml:space="preserve"> REF _Ref444161293 \r \h </w:instrText>
      </w:r>
      <w:r w:rsidR="00103812">
        <w:rPr>
          <w:lang w:val="en-GB"/>
        </w:rPr>
      </w:r>
      <w:r w:rsidR="00103812">
        <w:rPr>
          <w:lang w:val="en-GB"/>
        </w:rPr>
        <w:fldChar w:fldCharType="separate"/>
      </w:r>
      <w:r w:rsidR="00103812">
        <w:rPr>
          <w:lang w:val="en-GB"/>
        </w:rPr>
        <w:t>1.8</w:t>
      </w:r>
      <w:r w:rsidR="00103812">
        <w:rPr>
          <w:lang w:val="en-GB"/>
        </w:rPr>
        <w:fldChar w:fldCharType="end"/>
      </w:r>
      <w:r w:rsidR="005D1FA9">
        <w:rPr>
          <w:lang w:val="en-GB"/>
        </w:rPr>
        <w:t>).</w:t>
      </w:r>
      <w:r w:rsidR="00C2654E">
        <w:rPr>
          <w:lang w:val="en-GB"/>
        </w:rPr>
        <w:t xml:space="preserve"> Tibor Navracsics underlined the fact that education is crucial not only for employability but is also one of the best means of preventing social inclusion. </w:t>
      </w:r>
    </w:p>
    <w:p w14:paraId="7D2C5816" w14:textId="369C778D" w:rsidR="005D1FA9" w:rsidRPr="00702EF8" w:rsidRDefault="005D1FA9" w:rsidP="00702EF8">
      <w:pPr>
        <w:jc w:val="both"/>
        <w:rPr>
          <w:lang w:val="en-GB"/>
        </w:rPr>
      </w:pPr>
      <w:r>
        <w:rPr>
          <w:lang w:val="en-GB"/>
        </w:rPr>
        <w:t>Ministers discussed</w:t>
      </w:r>
      <w:r w:rsidR="00A05AC0" w:rsidRPr="005D1FA9">
        <w:rPr>
          <w:lang w:val="en-GB"/>
        </w:rPr>
        <w:t xml:space="preserve"> how to better connect education, the labour market and society, focusing on issues related to development of skills. </w:t>
      </w:r>
      <w:r w:rsidR="00C2654E">
        <w:rPr>
          <w:lang w:val="en-GB"/>
        </w:rPr>
        <w:t xml:space="preserve">A similar debate is foreseen at the EPSCO Council of 7 March 2016. After the EPSCO Council, both ministers will send a letter to the Commission presenting the key conclusions from both Councils. </w:t>
      </w:r>
      <w:r w:rsidR="00A05AC0" w:rsidRPr="005D1FA9">
        <w:rPr>
          <w:lang w:val="en-GB"/>
        </w:rPr>
        <w:t xml:space="preserve">The outcome of </w:t>
      </w:r>
      <w:r w:rsidR="00C2654E">
        <w:rPr>
          <w:lang w:val="en-GB"/>
        </w:rPr>
        <w:t>the debates</w:t>
      </w:r>
      <w:r w:rsidR="00A05AC0" w:rsidRPr="005D1FA9">
        <w:rPr>
          <w:lang w:val="en-GB"/>
        </w:rPr>
        <w:t xml:space="preserve"> will provide input to the Commission's forthcoming communication on</w:t>
      </w:r>
      <w:r>
        <w:rPr>
          <w:lang w:val="en-GB"/>
        </w:rPr>
        <w:t xml:space="preserve"> a new skills agenda for Europe (see</w:t>
      </w:r>
      <w:r w:rsidR="00103812">
        <w:rPr>
          <w:lang w:val="en-GB"/>
        </w:rPr>
        <w:t xml:space="preserve"> </w:t>
      </w:r>
      <w:r w:rsidR="00103812">
        <w:rPr>
          <w:lang w:val="en-GB"/>
        </w:rPr>
        <w:fldChar w:fldCharType="begin"/>
      </w:r>
      <w:r w:rsidR="00103812">
        <w:rPr>
          <w:lang w:val="en-GB"/>
        </w:rPr>
        <w:instrText xml:space="preserve"> REF _Ref444160869 \r \h </w:instrText>
      </w:r>
      <w:r w:rsidR="00103812">
        <w:rPr>
          <w:lang w:val="en-GB"/>
        </w:rPr>
      </w:r>
      <w:r w:rsidR="00103812">
        <w:rPr>
          <w:lang w:val="en-GB"/>
        </w:rPr>
        <w:fldChar w:fldCharType="separate"/>
      </w:r>
      <w:r w:rsidR="00103812">
        <w:rPr>
          <w:lang w:val="en-GB"/>
        </w:rPr>
        <w:t>1.9</w:t>
      </w:r>
      <w:r w:rsidR="00103812">
        <w:rPr>
          <w:lang w:val="en-GB"/>
        </w:rPr>
        <w:fldChar w:fldCharType="end"/>
      </w:r>
      <w:r>
        <w:rPr>
          <w:lang w:val="en-GB"/>
        </w:rPr>
        <w:t>)</w:t>
      </w:r>
      <w:r w:rsidR="00103812">
        <w:rPr>
          <w:lang w:val="en-GB"/>
        </w:rPr>
        <w:t>.</w:t>
      </w:r>
    </w:p>
    <w:p w14:paraId="1BA812C3" w14:textId="542EAFBD" w:rsidR="00A05AC0" w:rsidRDefault="00A05AC0" w:rsidP="00702EF8">
      <w:pPr>
        <w:jc w:val="both"/>
        <w:rPr>
          <w:lang w:val="en-GB"/>
        </w:rPr>
      </w:pPr>
      <w:r w:rsidRPr="00702EF8">
        <w:rPr>
          <w:lang w:val="en-GB"/>
        </w:rPr>
        <w:t>Education mi</w:t>
      </w:r>
      <w:r w:rsidR="00702EF8">
        <w:rPr>
          <w:lang w:val="en-GB"/>
        </w:rPr>
        <w:t xml:space="preserve">nisters had </w:t>
      </w:r>
      <w:r w:rsidRPr="00702EF8">
        <w:rPr>
          <w:lang w:val="en-GB"/>
        </w:rPr>
        <w:t>an exchange of views on how to promote citizenship and fundamental values through education. This debate is a follow up to the Paris declaration, made in February 2015 in the wake of terrorist attacks</w:t>
      </w:r>
      <w:r w:rsidR="00C2654E">
        <w:rPr>
          <w:lang w:val="en-GB"/>
        </w:rPr>
        <w:t>. Three member states presented a concrete example of a policy or project in their country,</w:t>
      </w:r>
      <w:r w:rsidR="00702EF8">
        <w:rPr>
          <w:lang w:val="en-GB"/>
        </w:rPr>
        <w:t xml:space="preserve"> </w:t>
      </w:r>
      <w:r w:rsidRPr="00702EF8">
        <w:rPr>
          <w:lang w:val="en-GB"/>
        </w:rPr>
        <w:t>focus</w:t>
      </w:r>
      <w:r w:rsidR="00C2654E">
        <w:rPr>
          <w:lang w:val="en-GB"/>
        </w:rPr>
        <w:t>ing</w:t>
      </w:r>
      <w:r w:rsidRPr="00702EF8">
        <w:rPr>
          <w:lang w:val="en-GB"/>
        </w:rPr>
        <w:t xml:space="preserve"> on citizenship education</w:t>
      </w:r>
      <w:r w:rsidR="00C2654E">
        <w:rPr>
          <w:lang w:val="en-GB"/>
        </w:rPr>
        <w:t xml:space="preserve"> (Czech Republic)</w:t>
      </w:r>
      <w:r w:rsidRPr="00702EF8">
        <w:rPr>
          <w:lang w:val="en-GB"/>
        </w:rPr>
        <w:t xml:space="preserve">, empowering teachers </w:t>
      </w:r>
      <w:r w:rsidR="00C2654E">
        <w:rPr>
          <w:lang w:val="en-GB"/>
        </w:rPr>
        <w:t xml:space="preserve">(Spain), </w:t>
      </w:r>
      <w:r w:rsidRPr="00702EF8">
        <w:rPr>
          <w:lang w:val="en-GB"/>
        </w:rPr>
        <w:t>and media literacy</w:t>
      </w:r>
      <w:r w:rsidR="00C2654E">
        <w:rPr>
          <w:lang w:val="en-GB"/>
        </w:rPr>
        <w:t xml:space="preserve"> (France)</w:t>
      </w:r>
      <w:r w:rsidRPr="00702EF8">
        <w:rPr>
          <w:lang w:val="en-GB"/>
        </w:rPr>
        <w:t>.</w:t>
      </w:r>
      <w:r w:rsidR="00702EF8">
        <w:rPr>
          <w:lang w:val="en-GB"/>
        </w:rPr>
        <w:t xml:space="preserve"> The discussion was based on a </w:t>
      </w:r>
      <w:hyperlink r:id="rId29" w:history="1">
        <w:r w:rsidR="00702EF8" w:rsidRPr="00153AA2">
          <w:rPr>
            <w:rStyle w:val="Hyperlink"/>
            <w:lang w:val="en-GB"/>
          </w:rPr>
          <w:t>Presidency discussion paper.</w:t>
        </w:r>
      </w:hyperlink>
      <w:r w:rsidR="00702EF8">
        <w:rPr>
          <w:lang w:val="en-GB"/>
        </w:rPr>
        <w:t xml:space="preserve"> </w:t>
      </w:r>
    </w:p>
    <w:p w14:paraId="61D2D529" w14:textId="20E0CD0B" w:rsidR="00350088" w:rsidRPr="00702EF8" w:rsidRDefault="0069572D" w:rsidP="00702EF8">
      <w:pPr>
        <w:jc w:val="both"/>
        <w:rPr>
          <w:lang w:val="en-GB"/>
        </w:rPr>
      </w:pPr>
      <w:hyperlink r:id="rId30" w:history="1">
        <w:r w:rsidR="00350088" w:rsidRPr="00350088">
          <w:rPr>
            <w:rStyle w:val="Hyperlink"/>
            <w:lang w:val="en-GB"/>
          </w:rPr>
          <w:t>Main results of the Council</w:t>
        </w:r>
      </w:hyperlink>
    </w:p>
    <w:p w14:paraId="041C9ED3" w14:textId="77777777" w:rsidR="00A57789" w:rsidRPr="00F41FED" w:rsidRDefault="00A57789" w:rsidP="00F41FED">
      <w:pPr>
        <w:pStyle w:val="Kop2"/>
      </w:pPr>
      <w:bookmarkStart w:id="10" w:name="_Ref444160529"/>
      <w:bookmarkStart w:id="11" w:name="_Toc444869835"/>
      <w:r w:rsidRPr="00F41FED">
        <w:t>Joint Report on the implementation of the Strategic Framework for European cooperation in Education and Training (ET 2020)</w:t>
      </w:r>
      <w:bookmarkEnd w:id="10"/>
      <w:bookmarkEnd w:id="11"/>
    </w:p>
    <w:p w14:paraId="5905A77E" w14:textId="77777777" w:rsidR="00A57789" w:rsidRPr="00502043" w:rsidRDefault="007B6B64" w:rsidP="007A4137">
      <w:pPr>
        <w:jc w:val="both"/>
        <w:rPr>
          <w:lang w:val="en-GB"/>
        </w:rPr>
      </w:pPr>
      <w:r>
        <w:rPr>
          <w:lang w:val="en-GB"/>
        </w:rPr>
        <w:t>23</w:t>
      </w:r>
      <w:r w:rsidR="00A57789" w:rsidRPr="00502043">
        <w:rPr>
          <w:lang w:val="en-GB"/>
        </w:rPr>
        <w:t xml:space="preserve"> November 2015</w:t>
      </w:r>
    </w:p>
    <w:p w14:paraId="48F7785F" w14:textId="77777777" w:rsidR="00A57789" w:rsidRDefault="00A57789" w:rsidP="007A4137">
      <w:pPr>
        <w:jc w:val="both"/>
        <w:rPr>
          <w:lang w:val="en-GB"/>
        </w:rPr>
      </w:pPr>
      <w:r w:rsidRPr="00502043">
        <w:rPr>
          <w:lang w:val="en-GB"/>
        </w:rPr>
        <w:t>The Council and the Commission have adopted the 2015 Joint Report under the ET2020 strategic framework for European cooperation in educat</w:t>
      </w:r>
      <w:r>
        <w:rPr>
          <w:lang w:val="en-GB"/>
        </w:rPr>
        <w:t>ion and training. The report set</w:t>
      </w:r>
      <w:r w:rsidRPr="00502043">
        <w:rPr>
          <w:lang w:val="en-GB"/>
        </w:rPr>
        <w:t xml:space="preserve">s new priority areas and identifies concrete issues for further cooperation up to 2020. It is the outcome of the ET 2020 mid-term stocktaking combined with input from stakeholders during the Forum discussions. </w:t>
      </w:r>
    </w:p>
    <w:p w14:paraId="58D1A80E" w14:textId="77777777" w:rsidR="00A57789" w:rsidRDefault="00A57789" w:rsidP="007A4137">
      <w:pPr>
        <w:jc w:val="both"/>
        <w:rPr>
          <w:lang w:val="en-GB"/>
        </w:rPr>
      </w:pPr>
      <w:r>
        <w:rPr>
          <w:lang w:val="en-GB"/>
        </w:rPr>
        <w:t>For more information on the Joint Report, see the ‘Main Policy Lines’ April-September 2015.</w:t>
      </w:r>
    </w:p>
    <w:p w14:paraId="7E290F3A" w14:textId="77777777" w:rsidR="00816FDD" w:rsidRDefault="0069572D" w:rsidP="007A4137">
      <w:pPr>
        <w:jc w:val="both"/>
        <w:rPr>
          <w:lang w:val="en-GB"/>
        </w:rPr>
      </w:pPr>
      <w:hyperlink r:id="rId31" w:history="1">
        <w:r w:rsidR="00816FDD" w:rsidRPr="00816FDD">
          <w:rPr>
            <w:rStyle w:val="Hyperlink"/>
            <w:lang w:val="en-GB"/>
          </w:rPr>
          <w:t>The Joint Report</w:t>
        </w:r>
      </w:hyperlink>
    </w:p>
    <w:p w14:paraId="083A24BA" w14:textId="77777777" w:rsidR="00816FDD" w:rsidRPr="00F41FED" w:rsidRDefault="00816FDD" w:rsidP="00F41FED">
      <w:pPr>
        <w:pStyle w:val="Kop2"/>
      </w:pPr>
      <w:bookmarkStart w:id="12" w:name="_Ref444160467"/>
      <w:bookmarkStart w:id="13" w:name="_Toc444869836"/>
      <w:r w:rsidRPr="00F41FED">
        <w:t xml:space="preserve">Council Conclusions on </w:t>
      </w:r>
      <w:r w:rsidR="007B6B64" w:rsidRPr="00F41FED">
        <w:t>reducing early school leaving</w:t>
      </w:r>
      <w:bookmarkEnd w:id="12"/>
      <w:bookmarkEnd w:id="13"/>
    </w:p>
    <w:p w14:paraId="399FA267" w14:textId="77777777" w:rsidR="007B6B64" w:rsidRDefault="007B6B64" w:rsidP="007A4137">
      <w:pPr>
        <w:jc w:val="both"/>
        <w:rPr>
          <w:lang w:val="en-GB" w:eastAsia="en-GB"/>
        </w:rPr>
      </w:pPr>
      <w:r>
        <w:rPr>
          <w:lang w:val="en-GB" w:eastAsia="en-GB"/>
        </w:rPr>
        <w:t>23 November 2015</w:t>
      </w:r>
    </w:p>
    <w:p w14:paraId="3C26110D" w14:textId="77777777" w:rsidR="007B6B64" w:rsidRDefault="007B6B64" w:rsidP="007A4137">
      <w:pPr>
        <w:jc w:val="both"/>
        <w:rPr>
          <w:lang w:val="en-GB" w:eastAsia="en-GB"/>
        </w:rPr>
      </w:pPr>
      <w:r>
        <w:rPr>
          <w:lang w:val="en-GB" w:eastAsia="en-GB"/>
        </w:rPr>
        <w:t xml:space="preserve">The conclusions take stock of the progress made so far, with a view to reviewing, consolidating and improving measures. According to 2014 data, 11.1 % of 18 to 24 year olds have left education and training without completing an upper secondary programme (around 4.4 million young people). </w:t>
      </w:r>
      <w:r w:rsidR="00C16E2F">
        <w:rPr>
          <w:lang w:val="en-GB" w:eastAsia="en-GB"/>
        </w:rPr>
        <w:t>Huge discrepancies remain within and between member states and the comprehensive strategies advocated in the 2011 Council Recommendation are still lacking in many countries.</w:t>
      </w:r>
    </w:p>
    <w:p w14:paraId="1B68EC14" w14:textId="77777777" w:rsidR="000F31B0" w:rsidRDefault="000F31B0" w:rsidP="007A4137">
      <w:pPr>
        <w:jc w:val="both"/>
        <w:rPr>
          <w:lang w:val="en-GB" w:eastAsia="en-GB"/>
        </w:rPr>
      </w:pPr>
      <w:r>
        <w:rPr>
          <w:lang w:val="en-GB" w:eastAsia="en-GB"/>
        </w:rPr>
        <w:t>For this reason, the EU and the member states acknowledge the need to actively pursue efforts to achieve, and where possible ex</w:t>
      </w:r>
      <w:r w:rsidR="007A4137">
        <w:rPr>
          <w:lang w:val="en-GB" w:eastAsia="en-GB"/>
        </w:rPr>
        <w:t>ceed, the Europe 2020 target. The Council asks to pursue implementation of the 2011 Council Recommendation by continuing the process of developing and implementing comprehensive strategies, with a strong emphasis on prevention, and by ensuring the committed participation of and long-term cooperation between stakeholders from all relevant areas (notably education and training, employment, economic affairs, social affairs, health, housing, youth, culture and sport).</w:t>
      </w:r>
    </w:p>
    <w:p w14:paraId="23357244" w14:textId="77777777" w:rsidR="007A4137" w:rsidRDefault="007A4137" w:rsidP="007A4137">
      <w:pPr>
        <w:jc w:val="both"/>
        <w:rPr>
          <w:lang w:val="en-GB" w:eastAsia="en-GB"/>
        </w:rPr>
      </w:pPr>
      <w:r>
        <w:rPr>
          <w:lang w:val="en-GB" w:eastAsia="en-GB"/>
        </w:rPr>
        <w:t>The Conclusions emphasise generalised, equitable access to affordable, high quality early childhood education and care, and collaborative (‘whole-school’) approaches to reducing early school leaving at local level.</w:t>
      </w:r>
    </w:p>
    <w:p w14:paraId="546D5A9E" w14:textId="77777777" w:rsidR="007B6B64" w:rsidRDefault="0069572D" w:rsidP="007A4137">
      <w:pPr>
        <w:jc w:val="both"/>
        <w:rPr>
          <w:rStyle w:val="Hyperlink"/>
          <w:lang w:val="en-GB" w:eastAsia="en-GB"/>
        </w:rPr>
      </w:pPr>
      <w:hyperlink r:id="rId32" w:history="1">
        <w:r w:rsidR="007B6B64" w:rsidRPr="007B6B64">
          <w:rPr>
            <w:rStyle w:val="Hyperlink"/>
            <w:lang w:val="en-GB" w:eastAsia="en-GB"/>
          </w:rPr>
          <w:t>The Conclusions</w:t>
        </w:r>
      </w:hyperlink>
    </w:p>
    <w:p w14:paraId="023A36EB" w14:textId="5B0DB6A1" w:rsidR="007A4137" w:rsidRPr="00F41FED" w:rsidRDefault="00F41FED" w:rsidP="00F41FED">
      <w:pPr>
        <w:pStyle w:val="Kop2"/>
      </w:pPr>
      <w:bookmarkStart w:id="14" w:name="_Toc444869837"/>
      <w:r>
        <w:t>Modernisation</w:t>
      </w:r>
      <w:r w:rsidR="007A4137" w:rsidRPr="00F41FED">
        <w:t xml:space="preserve"> agenda for higher education</w:t>
      </w:r>
      <w:bookmarkEnd w:id="14"/>
    </w:p>
    <w:p w14:paraId="0E598ED8" w14:textId="77777777" w:rsidR="007A4137" w:rsidRPr="007A4137" w:rsidRDefault="007A4137" w:rsidP="007A4137">
      <w:pPr>
        <w:jc w:val="both"/>
        <w:rPr>
          <w:lang w:val="en-GB" w:eastAsia="en-GB"/>
        </w:rPr>
      </w:pPr>
      <w:r>
        <w:rPr>
          <w:lang w:val="en-GB" w:eastAsia="en-GB"/>
        </w:rPr>
        <w:t>Consultation closes on 29 February 2015</w:t>
      </w:r>
    </w:p>
    <w:p w14:paraId="1CC9B42A" w14:textId="77777777" w:rsidR="007A4137" w:rsidRPr="007A4137" w:rsidRDefault="007A4137" w:rsidP="007A4137">
      <w:pPr>
        <w:jc w:val="both"/>
        <w:rPr>
          <w:rFonts w:ascii="Calibri" w:hAnsi="Calibri"/>
          <w:lang w:val="en-GB"/>
        </w:rPr>
      </w:pPr>
      <w:r w:rsidRPr="007A4137">
        <w:rPr>
          <w:rFonts w:ascii="Calibri" w:hAnsi="Calibri"/>
          <w:lang w:val="en-GB"/>
        </w:rPr>
        <w:t>The European Commission has started to review the EU's modernisation agenda for higher education, published in 2011, to ensure EU activities in higher education are as useful as possible.</w:t>
      </w:r>
    </w:p>
    <w:p w14:paraId="01116283" w14:textId="77777777" w:rsidR="007A4137" w:rsidRDefault="007A4137" w:rsidP="007A4137">
      <w:pPr>
        <w:jc w:val="both"/>
        <w:rPr>
          <w:rFonts w:ascii="Calibri" w:hAnsi="Calibri"/>
        </w:rPr>
      </w:pPr>
      <w:r w:rsidRPr="007A4137">
        <w:rPr>
          <w:rFonts w:ascii="Calibri" w:hAnsi="Calibri"/>
          <w:lang w:val="en-GB"/>
        </w:rPr>
        <w:t xml:space="preserve">As part of this review, the Commission has launched an online consultation to collect the views of stakeholders about the current situation in Europe's higher education systems, as well as on priorities for change. </w:t>
      </w:r>
      <w:r>
        <w:rPr>
          <w:rFonts w:ascii="Calibri" w:hAnsi="Calibri"/>
        </w:rPr>
        <w:t>Specifically, the consultation questionnaire focuses on:</w:t>
      </w:r>
    </w:p>
    <w:p w14:paraId="12FCF85C" w14:textId="77777777" w:rsidR="007A4137" w:rsidRPr="007A4137" w:rsidRDefault="007A4137" w:rsidP="00702EF8">
      <w:pPr>
        <w:pStyle w:val="Lijstalinea"/>
        <w:numPr>
          <w:ilvl w:val="0"/>
          <w:numId w:val="11"/>
        </w:numPr>
        <w:jc w:val="both"/>
        <w:rPr>
          <w:lang w:val="en-GB" w:eastAsia="en-GB"/>
        </w:rPr>
      </w:pPr>
      <w:r w:rsidRPr="007A4137">
        <w:rPr>
          <w:lang w:val="en-GB" w:eastAsia="en-GB"/>
        </w:rPr>
        <w:t>the current strengths and weaknesses of higher education in the EU</w:t>
      </w:r>
    </w:p>
    <w:p w14:paraId="0DD0A0D1" w14:textId="77777777" w:rsidR="007A4137" w:rsidRPr="007A4137" w:rsidRDefault="007A4137" w:rsidP="00702EF8">
      <w:pPr>
        <w:pStyle w:val="Lijstalinea"/>
        <w:numPr>
          <w:ilvl w:val="0"/>
          <w:numId w:val="11"/>
        </w:numPr>
        <w:jc w:val="both"/>
        <w:rPr>
          <w:lang w:val="en-GB" w:eastAsia="en-GB"/>
        </w:rPr>
      </w:pPr>
      <w:r w:rsidRPr="007A4137">
        <w:rPr>
          <w:lang w:val="en-GB" w:eastAsia="en-GB"/>
        </w:rPr>
        <w:t>the priority areas where those in charge of higher education should focus their attention and</w:t>
      </w:r>
    </w:p>
    <w:p w14:paraId="17B6242B" w14:textId="77777777" w:rsidR="007A4137" w:rsidRDefault="007A4137" w:rsidP="00702EF8">
      <w:pPr>
        <w:pStyle w:val="Lijstalinea"/>
        <w:numPr>
          <w:ilvl w:val="0"/>
          <w:numId w:val="11"/>
        </w:numPr>
        <w:jc w:val="both"/>
        <w:rPr>
          <w:lang w:val="en-GB" w:eastAsia="en-GB"/>
        </w:rPr>
      </w:pPr>
      <w:r w:rsidRPr="007A4137">
        <w:rPr>
          <w:lang w:val="en-GB" w:eastAsia="en-GB"/>
        </w:rPr>
        <w:t>how you think the EU should support efforts to improve higher education.</w:t>
      </w:r>
    </w:p>
    <w:p w14:paraId="21CD872D" w14:textId="30447C39" w:rsidR="00F41FED" w:rsidRPr="00F41FED" w:rsidRDefault="0069572D" w:rsidP="00F41FED">
      <w:pPr>
        <w:jc w:val="both"/>
        <w:rPr>
          <w:lang w:val="en-GB" w:eastAsia="en-GB"/>
        </w:rPr>
      </w:pPr>
      <w:hyperlink r:id="rId33" w:history="1">
        <w:r w:rsidR="00F41FED" w:rsidRPr="00F41FED">
          <w:rPr>
            <w:rStyle w:val="Hyperlink"/>
            <w:lang w:val="en-GB" w:eastAsia="en-GB"/>
          </w:rPr>
          <w:t>The consultation</w:t>
        </w:r>
      </w:hyperlink>
    </w:p>
    <w:p w14:paraId="3CC4228D" w14:textId="77777777" w:rsidR="007A4137" w:rsidRPr="007A4137" w:rsidRDefault="007A4137" w:rsidP="007A4137">
      <w:pPr>
        <w:jc w:val="both"/>
        <w:rPr>
          <w:rFonts w:ascii="Calibri" w:hAnsi="Calibri"/>
          <w:lang w:val="en-GB"/>
        </w:rPr>
      </w:pPr>
      <w:r w:rsidRPr="007A4137">
        <w:rPr>
          <w:rFonts w:ascii="Calibri" w:hAnsi="Calibri"/>
          <w:lang w:val="en-GB"/>
        </w:rPr>
        <w:t>The public online consultation will be complemented by targeted stakeholder consultations. A summary of the contributions to the online consultation will be published on the Commission's Europa website one month after the publication closes.</w:t>
      </w:r>
    </w:p>
    <w:p w14:paraId="4B6E434E" w14:textId="29D6E508" w:rsidR="00F74945" w:rsidRPr="00F41FED" w:rsidRDefault="00F74945" w:rsidP="00F41FED">
      <w:pPr>
        <w:pStyle w:val="Kop2"/>
      </w:pPr>
      <w:bookmarkStart w:id="15" w:name="_Toc444869838"/>
      <w:r w:rsidRPr="00F41FED">
        <w:t>ET2020 Thematic Working Group on Schools’ Policy</w:t>
      </w:r>
      <w:bookmarkEnd w:id="15"/>
    </w:p>
    <w:p w14:paraId="6018D722" w14:textId="77777777" w:rsidR="00F74945" w:rsidRPr="00F41FED" w:rsidRDefault="00F74945" w:rsidP="00F41FED">
      <w:pPr>
        <w:pStyle w:val="Kop3"/>
      </w:pPr>
      <w:bookmarkStart w:id="16" w:name="_Toc444869839"/>
      <w:r w:rsidRPr="00F41FED">
        <w:t>A whole school approach to tackle early school leaving</w:t>
      </w:r>
      <w:bookmarkEnd w:id="16"/>
    </w:p>
    <w:p w14:paraId="34021E5A" w14:textId="77777777" w:rsidR="00F74945" w:rsidRPr="00502043" w:rsidRDefault="00F74945" w:rsidP="00F74945">
      <w:pPr>
        <w:rPr>
          <w:lang w:val="en-GB"/>
        </w:rPr>
      </w:pPr>
      <w:r w:rsidRPr="00502043">
        <w:rPr>
          <w:lang w:val="en-GB"/>
        </w:rPr>
        <w:t>November 2015</w:t>
      </w:r>
    </w:p>
    <w:p w14:paraId="505324DB" w14:textId="77777777" w:rsidR="00F74945" w:rsidRPr="00502043" w:rsidRDefault="00F74945" w:rsidP="00F74945">
      <w:pPr>
        <w:jc w:val="both"/>
        <w:rPr>
          <w:lang w:val="en-GB"/>
        </w:rPr>
      </w:pPr>
      <w:r w:rsidRPr="00502043">
        <w:rPr>
          <w:lang w:val="en-GB"/>
        </w:rPr>
        <w:t xml:space="preserve">This paper presents the findings of the European Union’s ET2020 Working Group on Schools Policy (2014-2015) on its priority theme of ‘early school leaving’. Building further on the results of the Thematic Working Group on Early School Leaving, this new working group has focused on prevention and early intervention of early school leaving at the school and local level. Through the development of an online ‘European Toolkit for Schools for inclusive education and early school leaving prevention’ (available end 2015) the Working Group wants to provide concrete support to schools to prevent drop-out, respond quickly to the first signals of disengagement. </w:t>
      </w:r>
    </w:p>
    <w:p w14:paraId="20B9CE50" w14:textId="77777777" w:rsidR="00F74945" w:rsidRDefault="00F74945" w:rsidP="00F74945">
      <w:pPr>
        <w:jc w:val="both"/>
      </w:pPr>
      <w:r w:rsidRPr="00502043">
        <w:rPr>
          <w:lang w:val="en-GB"/>
        </w:rPr>
        <w:t>The main message is that a ‘whole school approach’ to early school leaving is needed. In this approach the entire school community (school leaders, teaching and non-teaching staff, learners, parents and families) engages in cohesive, collective and collaborative action, with strong cooperation with external stakeho</w:t>
      </w:r>
      <w:r>
        <w:rPr>
          <w:lang w:val="en-GB"/>
        </w:rPr>
        <w:t>l</w:t>
      </w:r>
      <w:r w:rsidRPr="00502043">
        <w:rPr>
          <w:lang w:val="en-GB"/>
        </w:rPr>
        <w:t xml:space="preserve">ders and the community at large. The key conditions for a ‘whole school approach’ have been organised around five interconnected thematic areas. </w:t>
      </w:r>
      <w:r>
        <w:t>Each area is further elaborated in the Toolkit:</w:t>
      </w:r>
    </w:p>
    <w:p w14:paraId="132C83FE" w14:textId="7A5CDEC2" w:rsidR="00F74945" w:rsidRPr="00F74945" w:rsidRDefault="00F74945" w:rsidP="00702EF8">
      <w:pPr>
        <w:pStyle w:val="Lijstalinea"/>
        <w:numPr>
          <w:ilvl w:val="0"/>
          <w:numId w:val="5"/>
        </w:numPr>
        <w:spacing w:after="160" w:line="259" w:lineRule="auto"/>
        <w:jc w:val="both"/>
        <w:rPr>
          <w:lang w:val="en-GB"/>
        </w:rPr>
      </w:pPr>
      <w:r w:rsidRPr="00F74945">
        <w:rPr>
          <w:lang w:val="en-GB"/>
        </w:rPr>
        <w:t>School governance. Competent and effective school leadership is necessary; the following aspects are essential: greater flexibility/autonomy to schools; selection, support and training for school heads; distribu</w:t>
      </w:r>
      <w:r w:rsidR="00F41FED">
        <w:rPr>
          <w:lang w:val="en-GB"/>
        </w:rPr>
        <w:t>t</w:t>
      </w:r>
      <w:r w:rsidRPr="00F74945">
        <w:rPr>
          <w:lang w:val="en-GB"/>
        </w:rPr>
        <w:t>ed leadersh</w:t>
      </w:r>
      <w:r w:rsidR="00F41FED">
        <w:rPr>
          <w:lang w:val="en-GB"/>
        </w:rPr>
        <w:t>ip; whole-school improvement pro</w:t>
      </w:r>
      <w:r w:rsidRPr="00F74945">
        <w:rPr>
          <w:lang w:val="en-GB"/>
        </w:rPr>
        <w:t>cesses; external monitoring and assessment (quality insurance) mechanisms; networking between schools</w:t>
      </w:r>
    </w:p>
    <w:p w14:paraId="2DD07234" w14:textId="57DAB801" w:rsidR="00F74945" w:rsidRPr="00F74945" w:rsidRDefault="00F74945" w:rsidP="00702EF8">
      <w:pPr>
        <w:pStyle w:val="Lijstalinea"/>
        <w:numPr>
          <w:ilvl w:val="0"/>
          <w:numId w:val="5"/>
        </w:numPr>
        <w:spacing w:after="160" w:line="259" w:lineRule="auto"/>
        <w:jc w:val="both"/>
        <w:rPr>
          <w:lang w:val="en-GB"/>
        </w:rPr>
      </w:pPr>
      <w:r w:rsidRPr="00F74945">
        <w:rPr>
          <w:lang w:val="en-GB"/>
        </w:rPr>
        <w:t>Learner support: engaging and stimulating curricula and effective teaching approaches; nurturing of learners’ well-being; early detection mechanisms; a systemic support framework; specific support for non-native speakers; the learners’ voice and participation in school life; career education and guidance; extra-cur</w:t>
      </w:r>
      <w:r w:rsidR="00F41FED">
        <w:rPr>
          <w:lang w:val="en-GB"/>
        </w:rPr>
        <w:t>r</w:t>
      </w:r>
      <w:r w:rsidRPr="00F74945">
        <w:rPr>
          <w:lang w:val="en-GB"/>
        </w:rPr>
        <w:t>icular activities.</w:t>
      </w:r>
    </w:p>
    <w:p w14:paraId="30BA00F2" w14:textId="77777777" w:rsidR="00F74945" w:rsidRPr="00F74945" w:rsidRDefault="00F74945" w:rsidP="00702EF8">
      <w:pPr>
        <w:pStyle w:val="Lijstalinea"/>
        <w:numPr>
          <w:ilvl w:val="0"/>
          <w:numId w:val="5"/>
        </w:numPr>
        <w:spacing w:after="160" w:line="259" w:lineRule="auto"/>
        <w:jc w:val="both"/>
        <w:rPr>
          <w:lang w:val="en-GB"/>
        </w:rPr>
      </w:pPr>
      <w:r w:rsidRPr="00F74945">
        <w:rPr>
          <w:lang w:val="en-GB"/>
        </w:rPr>
        <w:t>Teachers: teachers have to understand early school leaving; teachers competences in the field of differentiation, active learning, formative assessment, more project-based and cooperative teaching and learning; support teachers to be leaders; give student teachers practical opportunities to enhance their understanding of early school leaving; develop and promote a culture of peer-to-peer learning, among teachers and with pupils; embrace diversity, attracting teacher candidates representing the whole society; and provide additional support to teachers working in schools with high early school leaving rates.</w:t>
      </w:r>
    </w:p>
    <w:p w14:paraId="6AC30566" w14:textId="77777777" w:rsidR="00F74945" w:rsidRPr="00F74945" w:rsidRDefault="00F74945" w:rsidP="00702EF8">
      <w:pPr>
        <w:pStyle w:val="Lijstalinea"/>
        <w:numPr>
          <w:ilvl w:val="0"/>
          <w:numId w:val="5"/>
        </w:numPr>
        <w:spacing w:after="160" w:line="259" w:lineRule="auto"/>
        <w:jc w:val="both"/>
        <w:rPr>
          <w:lang w:val="en-GB"/>
        </w:rPr>
      </w:pPr>
      <w:r w:rsidRPr="00F74945">
        <w:rPr>
          <w:lang w:val="en-GB"/>
        </w:rPr>
        <w:t xml:space="preserve">Parents and families. Education is a shared responsibility. Effective family-school partnerships need to be based on mutual respect and acknowledgement of the expertise and assets of each; participation in school decision-making and in school life; parent access to information on the educational system and the school options; opening up and improving channels of communication; offering opportunities for parents’ education. </w:t>
      </w:r>
    </w:p>
    <w:p w14:paraId="56B310D1" w14:textId="77777777" w:rsidR="00F74945" w:rsidRPr="00F74945" w:rsidRDefault="00F74945" w:rsidP="00702EF8">
      <w:pPr>
        <w:pStyle w:val="Lijstalinea"/>
        <w:numPr>
          <w:ilvl w:val="0"/>
          <w:numId w:val="5"/>
        </w:numPr>
        <w:spacing w:after="160" w:line="259" w:lineRule="auto"/>
        <w:jc w:val="both"/>
        <w:rPr>
          <w:lang w:val="en-GB"/>
        </w:rPr>
      </w:pPr>
      <w:r w:rsidRPr="00F74945">
        <w:rPr>
          <w:lang w:val="en-GB"/>
        </w:rPr>
        <w:t xml:space="preserve">Stakeholder involvement. It is important that a wide range of stakeholders are involved from the start: social workers, youth services, outreach care workers, psychologists, nurses, therapists, child protect services, guidance specialists, police, unions, business, intercultural mediators, migrants associations, NGOs from sport, culture and active citizenship sectors, …. There must be political support to promote cooperation and strong leadership to steer the process. A common action plan can help structure cooperation between stakeholders. </w:t>
      </w:r>
    </w:p>
    <w:p w14:paraId="2E98F7F2" w14:textId="77777777" w:rsidR="007A4137" w:rsidRPr="00A767AE" w:rsidRDefault="0069572D" w:rsidP="00F74945">
      <w:pPr>
        <w:rPr>
          <w:color w:val="0000FF" w:themeColor="hyperlink"/>
          <w:u w:val="single"/>
          <w:lang w:val="en-GB"/>
        </w:rPr>
      </w:pPr>
      <w:hyperlink r:id="rId34" w:history="1">
        <w:r w:rsidR="00AD4976" w:rsidRPr="00AD4976">
          <w:rPr>
            <w:rStyle w:val="Hyperlink"/>
            <w:lang w:val="en-GB"/>
          </w:rPr>
          <w:t>The policy messages</w:t>
        </w:r>
      </w:hyperlink>
    </w:p>
    <w:p w14:paraId="3D6CC679" w14:textId="77777777" w:rsidR="00F74945" w:rsidRPr="00F41FED" w:rsidRDefault="00F74945" w:rsidP="00F41FED">
      <w:pPr>
        <w:pStyle w:val="Kop3"/>
      </w:pPr>
      <w:bookmarkStart w:id="17" w:name="_Toc444869840"/>
      <w:r w:rsidRPr="00F41FED">
        <w:t>Shaping career-long perspectives on teaching. A guide on policies to improve initial teacher education.</w:t>
      </w:r>
      <w:bookmarkEnd w:id="17"/>
      <w:r w:rsidRPr="00F41FED">
        <w:t xml:space="preserve"> </w:t>
      </w:r>
    </w:p>
    <w:p w14:paraId="1106D558" w14:textId="77777777" w:rsidR="00F74945" w:rsidRPr="00502043" w:rsidRDefault="00F74945" w:rsidP="00F74945">
      <w:pPr>
        <w:rPr>
          <w:lang w:val="en-GB"/>
        </w:rPr>
      </w:pPr>
      <w:r w:rsidRPr="00502043">
        <w:rPr>
          <w:lang w:val="en-GB"/>
        </w:rPr>
        <w:t>November 2015</w:t>
      </w:r>
    </w:p>
    <w:p w14:paraId="4E334C16" w14:textId="77777777" w:rsidR="00F74945" w:rsidRPr="00502043" w:rsidRDefault="00F74945" w:rsidP="00F74945">
      <w:pPr>
        <w:rPr>
          <w:lang w:val="en-GB"/>
        </w:rPr>
      </w:pPr>
      <w:r w:rsidRPr="00502043">
        <w:rPr>
          <w:lang w:val="en-GB"/>
        </w:rPr>
        <w:t>The guide presents the findings of the European Union’s ET2020 Working Group on Schools Policy (2014-2015) on its priority theme ‘Initial Teacher Education.’</w:t>
      </w:r>
    </w:p>
    <w:p w14:paraId="20FACDE6" w14:textId="77777777" w:rsidR="00F74945" w:rsidRPr="00502043" w:rsidRDefault="00F74945" w:rsidP="00AD4976">
      <w:pPr>
        <w:jc w:val="both"/>
        <w:rPr>
          <w:lang w:val="en-GB"/>
        </w:rPr>
      </w:pPr>
      <w:r w:rsidRPr="00502043">
        <w:rPr>
          <w:lang w:val="en-GB"/>
        </w:rPr>
        <w:t xml:space="preserve">The Working Group started from a consensus on the urgent need to improve initial teacher education (ITE). Starting from u set of agreed principles, the guide outlines a number of targeted policy actions in three fields: </w:t>
      </w:r>
    </w:p>
    <w:p w14:paraId="50B9A53B" w14:textId="77777777" w:rsidR="00F74945" w:rsidRPr="00502043" w:rsidRDefault="00F74945" w:rsidP="00702EF8">
      <w:pPr>
        <w:pStyle w:val="Lijstalinea"/>
        <w:numPr>
          <w:ilvl w:val="0"/>
          <w:numId w:val="5"/>
        </w:numPr>
        <w:spacing w:after="160" w:line="259" w:lineRule="auto"/>
        <w:jc w:val="both"/>
        <w:rPr>
          <w:lang w:val="en-GB"/>
        </w:rPr>
      </w:pPr>
      <w:r w:rsidRPr="00502043">
        <w:rPr>
          <w:lang w:val="en-GB"/>
        </w:rPr>
        <w:t>The continuum. Initial teacher education needs to be consider</w:t>
      </w:r>
      <w:r>
        <w:rPr>
          <w:lang w:val="en-GB"/>
        </w:rPr>
        <w:t>ed as the first part of a longe</w:t>
      </w:r>
      <w:r w:rsidRPr="00502043">
        <w:rPr>
          <w:lang w:val="en-GB"/>
        </w:rPr>
        <w:t>r</w:t>
      </w:r>
      <w:r>
        <w:rPr>
          <w:lang w:val="en-GB"/>
        </w:rPr>
        <w:t xml:space="preserve"> </w:t>
      </w:r>
      <w:r w:rsidRPr="00502043">
        <w:rPr>
          <w:lang w:val="en-GB"/>
        </w:rPr>
        <w:t>and dynamic process, not as a stand-alone and complete phase. Its success will depend on mechanisms allowing for interaction with later stages of teacher development and its positi</w:t>
      </w:r>
      <w:r>
        <w:rPr>
          <w:lang w:val="en-GB"/>
        </w:rPr>
        <w:t>o</w:t>
      </w:r>
      <w:r w:rsidRPr="00502043">
        <w:rPr>
          <w:lang w:val="en-GB"/>
        </w:rPr>
        <w:t>n within broader policies affection schools and teachers.</w:t>
      </w:r>
    </w:p>
    <w:p w14:paraId="7D049681" w14:textId="22BD206C" w:rsidR="00F74945" w:rsidRPr="00502043" w:rsidRDefault="00F74945" w:rsidP="00702EF8">
      <w:pPr>
        <w:pStyle w:val="Lijstalinea"/>
        <w:numPr>
          <w:ilvl w:val="0"/>
          <w:numId w:val="5"/>
        </w:numPr>
        <w:spacing w:after="160" w:line="259" w:lineRule="auto"/>
        <w:jc w:val="both"/>
        <w:rPr>
          <w:lang w:val="en-GB"/>
        </w:rPr>
      </w:pPr>
      <w:r w:rsidRPr="00502043">
        <w:rPr>
          <w:lang w:val="en-GB"/>
        </w:rPr>
        <w:t>Collaborative learning. A significant share of teachers have never experienced collaborative learning; promoting it entails changes in practice, mind</w:t>
      </w:r>
      <w:r w:rsidR="00F41FED">
        <w:rPr>
          <w:lang w:val="en-GB"/>
        </w:rPr>
        <w:t>-</w:t>
      </w:r>
      <w:r w:rsidRPr="00502043">
        <w:rPr>
          <w:lang w:val="en-GB"/>
        </w:rPr>
        <w:t xml:space="preserve">set and the development of new work cultures and environments. </w:t>
      </w:r>
    </w:p>
    <w:p w14:paraId="340EDD68" w14:textId="77777777" w:rsidR="00F74945" w:rsidRDefault="00F74945" w:rsidP="00702EF8">
      <w:pPr>
        <w:pStyle w:val="Lijstalinea"/>
        <w:numPr>
          <w:ilvl w:val="0"/>
          <w:numId w:val="5"/>
        </w:numPr>
        <w:spacing w:after="160" w:line="259" w:lineRule="auto"/>
        <w:jc w:val="both"/>
        <w:rPr>
          <w:lang w:val="en-GB"/>
        </w:rPr>
      </w:pPr>
      <w:r w:rsidRPr="00502043">
        <w:rPr>
          <w:lang w:val="en-GB"/>
        </w:rPr>
        <w:t>Governance. Initial teacher education is defined by its institutional framework, setting out the degree of providers’ autonomy, and the extent to which it is subject to governmental influence. The role of stakeholders varies between countries. Nevertheless, whether a system is more or less cen</w:t>
      </w:r>
      <w:r>
        <w:rPr>
          <w:lang w:val="en-GB"/>
        </w:rPr>
        <w:t>tralized, it still can be collabo</w:t>
      </w:r>
      <w:r w:rsidRPr="00502043">
        <w:rPr>
          <w:lang w:val="en-GB"/>
        </w:rPr>
        <w:t xml:space="preserve">rative. </w:t>
      </w:r>
    </w:p>
    <w:p w14:paraId="3950B314" w14:textId="77777777" w:rsidR="00A57789" w:rsidRDefault="0069572D" w:rsidP="00A57789">
      <w:pPr>
        <w:spacing w:after="160" w:line="259" w:lineRule="auto"/>
        <w:jc w:val="both"/>
        <w:rPr>
          <w:rStyle w:val="Hyperlink"/>
          <w:lang w:val="en-GB"/>
        </w:rPr>
      </w:pPr>
      <w:hyperlink r:id="rId35" w:history="1">
        <w:r w:rsidR="00A57789" w:rsidRPr="00A57789">
          <w:rPr>
            <w:rStyle w:val="Hyperlink"/>
            <w:lang w:val="en-GB"/>
          </w:rPr>
          <w:t>Summary of the guide</w:t>
        </w:r>
      </w:hyperlink>
    </w:p>
    <w:p w14:paraId="0DAD4E58" w14:textId="77777777" w:rsidR="00D75587" w:rsidRPr="00F41FED" w:rsidRDefault="00D75587" w:rsidP="00F41FED">
      <w:pPr>
        <w:pStyle w:val="Kop2"/>
      </w:pPr>
      <w:bookmarkStart w:id="18" w:name="_Toc444869841"/>
      <w:r w:rsidRPr="00F41FED">
        <w:t>Erasmus+ mid-term evaluation</w:t>
      </w:r>
      <w:bookmarkEnd w:id="18"/>
    </w:p>
    <w:p w14:paraId="58FDBE1C" w14:textId="5F70C389" w:rsidR="00D75587" w:rsidRPr="00D75587" w:rsidRDefault="00D75587" w:rsidP="00D75587">
      <w:pPr>
        <w:rPr>
          <w:lang w:val="en-GB" w:eastAsia="en-GB"/>
        </w:rPr>
      </w:pPr>
      <w:r>
        <w:rPr>
          <w:lang w:val="en-GB" w:eastAsia="en-GB"/>
        </w:rPr>
        <w:t>Expected start last quarter 2015; expected end last quarter 2017</w:t>
      </w:r>
    </w:p>
    <w:p w14:paraId="4CA33446" w14:textId="5874B133" w:rsidR="00D75587" w:rsidRPr="00D75587" w:rsidRDefault="00D75587" w:rsidP="00D75587">
      <w:pPr>
        <w:spacing w:after="160" w:line="259" w:lineRule="auto"/>
        <w:jc w:val="both"/>
        <w:rPr>
          <w:lang w:val="en-GB"/>
        </w:rPr>
      </w:pPr>
      <w:r w:rsidRPr="00D75587">
        <w:rPr>
          <w:lang w:val="en-GB"/>
        </w:rPr>
        <w:t>The Erasmus+ programme (2014-2020) has integrated all previously existing progr</w:t>
      </w:r>
      <w:r w:rsidR="000E358C">
        <w:rPr>
          <w:lang w:val="en-GB"/>
        </w:rPr>
        <w:t>a</w:t>
      </w:r>
      <w:r w:rsidRPr="00D75587">
        <w:rPr>
          <w:lang w:val="en-GB"/>
        </w:rPr>
        <w:t>mmes in the domains of education, training, youth and sport. The programme pursues its objectives through three types of actions: Key Action 1, l</w:t>
      </w:r>
      <w:r w:rsidR="00F41FED">
        <w:rPr>
          <w:lang w:val="en-GB"/>
        </w:rPr>
        <w:t>earning mobility for individua</w:t>
      </w:r>
      <w:r w:rsidR="000E358C">
        <w:rPr>
          <w:lang w:val="en-GB"/>
        </w:rPr>
        <w:t>l</w:t>
      </w:r>
      <w:r w:rsidRPr="00D75587">
        <w:rPr>
          <w:lang w:val="en-GB"/>
        </w:rPr>
        <w:t>s; Key Action 2, cooperation for innovation and the exchange of good practices; Key Action 3, support for policy reform.</w:t>
      </w:r>
    </w:p>
    <w:p w14:paraId="2C194503" w14:textId="77777777" w:rsidR="00D75587" w:rsidRPr="00D75587" w:rsidRDefault="00D75587" w:rsidP="00D75587">
      <w:pPr>
        <w:spacing w:after="160" w:line="259" w:lineRule="auto"/>
        <w:jc w:val="both"/>
        <w:rPr>
          <w:lang w:val="en-GB"/>
        </w:rPr>
      </w:pPr>
      <w:r w:rsidRPr="00D75587">
        <w:rPr>
          <w:lang w:val="en-GB"/>
        </w:rPr>
        <w:t>The programme is implemented through 60 national agencies in the programme countries and through the executive agency EACEA.</w:t>
      </w:r>
    </w:p>
    <w:p w14:paraId="607946ED" w14:textId="77777777" w:rsidR="00D75587" w:rsidRPr="00D75587" w:rsidRDefault="00D75587" w:rsidP="00D75587">
      <w:pPr>
        <w:spacing w:after="160" w:line="259" w:lineRule="auto"/>
        <w:jc w:val="both"/>
        <w:rPr>
          <w:lang w:val="nl-BE"/>
        </w:rPr>
      </w:pPr>
      <w:r w:rsidRPr="00D75587">
        <w:rPr>
          <w:lang w:val="nl-BE"/>
        </w:rPr>
        <w:t xml:space="preserve">This mid-term evaluation will </w:t>
      </w:r>
    </w:p>
    <w:p w14:paraId="27A2CCD6" w14:textId="77777777" w:rsidR="00D75587" w:rsidRPr="00D75587" w:rsidRDefault="00D75587" w:rsidP="00702EF8">
      <w:pPr>
        <w:pStyle w:val="Lijstalinea"/>
        <w:numPr>
          <w:ilvl w:val="0"/>
          <w:numId w:val="5"/>
        </w:numPr>
        <w:spacing w:after="160" w:line="259" w:lineRule="auto"/>
        <w:jc w:val="both"/>
        <w:rPr>
          <w:lang w:val="en-GB"/>
        </w:rPr>
      </w:pPr>
      <w:r w:rsidRPr="00D75587">
        <w:rPr>
          <w:lang w:val="en-GB"/>
        </w:rPr>
        <w:t>assess the effectiveness of the actions to achieve the programme’s objectives and evaluate the efficiency of the programme and its EU added value.</w:t>
      </w:r>
    </w:p>
    <w:p w14:paraId="2B99064F" w14:textId="2BD0F3D0" w:rsidR="00D75587" w:rsidRPr="00D75587" w:rsidRDefault="00F41FED" w:rsidP="00702EF8">
      <w:pPr>
        <w:pStyle w:val="Lijstalinea"/>
        <w:numPr>
          <w:ilvl w:val="0"/>
          <w:numId w:val="5"/>
        </w:numPr>
        <w:spacing w:after="160" w:line="259" w:lineRule="auto"/>
        <w:jc w:val="both"/>
        <w:rPr>
          <w:lang w:val="en-GB"/>
        </w:rPr>
      </w:pPr>
      <w:r>
        <w:rPr>
          <w:lang w:val="en-GB"/>
        </w:rPr>
        <w:t>a</w:t>
      </w:r>
      <w:r w:rsidR="00D75587" w:rsidRPr="00D75587">
        <w:rPr>
          <w:lang w:val="en-GB"/>
        </w:rPr>
        <w:t>sses the long-term results and impact of the predecessor programmes.</w:t>
      </w:r>
    </w:p>
    <w:p w14:paraId="2893D300" w14:textId="77777777" w:rsidR="00D75587" w:rsidRPr="00D75587" w:rsidRDefault="00D75587" w:rsidP="00D75587">
      <w:pPr>
        <w:spacing w:after="160" w:line="259" w:lineRule="auto"/>
        <w:jc w:val="both"/>
        <w:rPr>
          <w:lang w:val="en-GB"/>
        </w:rPr>
      </w:pPr>
      <w:r w:rsidRPr="00D75587">
        <w:rPr>
          <w:lang w:val="en-GB"/>
        </w:rPr>
        <w:t>Before addressing evaluation consultants, an inventory of existing knowledge on results and impact of the programme actions will be made by the Commission, in cooperation with EACEA, national agencies and national authorities.</w:t>
      </w:r>
    </w:p>
    <w:p w14:paraId="4A1279B8" w14:textId="77777777" w:rsidR="00D75587" w:rsidRPr="00D75587" w:rsidRDefault="00D75587" w:rsidP="00D75587">
      <w:pPr>
        <w:spacing w:after="160" w:line="259" w:lineRule="auto"/>
        <w:jc w:val="both"/>
        <w:rPr>
          <w:lang w:val="en-GB"/>
        </w:rPr>
      </w:pPr>
      <w:r w:rsidRPr="00D75587">
        <w:rPr>
          <w:lang w:val="en-GB"/>
        </w:rPr>
        <w:t>External consultants will conduct the following tasks:</w:t>
      </w:r>
    </w:p>
    <w:p w14:paraId="41D47610" w14:textId="77777777" w:rsidR="00D75587" w:rsidRPr="00D75587" w:rsidRDefault="00D75587" w:rsidP="00702EF8">
      <w:pPr>
        <w:pStyle w:val="Lijstalinea"/>
        <w:numPr>
          <w:ilvl w:val="0"/>
          <w:numId w:val="5"/>
        </w:numPr>
        <w:spacing w:after="160" w:line="259" w:lineRule="auto"/>
        <w:jc w:val="both"/>
        <w:rPr>
          <w:lang w:val="en-GB"/>
        </w:rPr>
      </w:pPr>
      <w:r w:rsidRPr="00D75587">
        <w:rPr>
          <w:lang w:val="en-GB"/>
        </w:rPr>
        <w:t>Summary of national reports from the countries on the implementation and impact of Erasmus+ in their country (to be delivered 30 June 2017);</w:t>
      </w:r>
    </w:p>
    <w:p w14:paraId="0EC22513" w14:textId="7579D4B2" w:rsidR="00D75587" w:rsidRPr="00D75587" w:rsidRDefault="00D75587" w:rsidP="00702EF8">
      <w:pPr>
        <w:pStyle w:val="Lijstalinea"/>
        <w:numPr>
          <w:ilvl w:val="0"/>
          <w:numId w:val="5"/>
        </w:numPr>
        <w:spacing w:after="160" w:line="259" w:lineRule="auto"/>
        <w:jc w:val="both"/>
        <w:rPr>
          <w:lang w:val="en-GB"/>
        </w:rPr>
      </w:pPr>
      <w:r w:rsidRPr="00D75587">
        <w:rPr>
          <w:lang w:val="en-GB"/>
        </w:rPr>
        <w:t xml:space="preserve">Synopsis of public consultations carried out for the evaluation. (There will be an open online public consultation + targeted consultations of beneficiaries and participants of the programme and other key stakeholders (e.g. national and European policy makers, staff of national </w:t>
      </w:r>
      <w:r w:rsidR="00F41FED" w:rsidRPr="00D75587">
        <w:rPr>
          <w:lang w:val="en-GB"/>
        </w:rPr>
        <w:t>agencies …)</w:t>
      </w:r>
      <w:r w:rsidRPr="00D75587">
        <w:rPr>
          <w:lang w:val="en-GB"/>
        </w:rPr>
        <w:t>.</w:t>
      </w:r>
    </w:p>
    <w:p w14:paraId="4914F489" w14:textId="704EF36A" w:rsidR="00D75587" w:rsidRPr="00D75587" w:rsidRDefault="00D75587" w:rsidP="00702EF8">
      <w:pPr>
        <w:pStyle w:val="Lijstalinea"/>
        <w:numPr>
          <w:ilvl w:val="0"/>
          <w:numId w:val="5"/>
        </w:numPr>
        <w:spacing w:after="160" w:line="259" w:lineRule="auto"/>
        <w:jc w:val="both"/>
        <w:rPr>
          <w:lang w:val="en-GB"/>
        </w:rPr>
      </w:pPr>
      <w:r w:rsidRPr="00D75587">
        <w:rPr>
          <w:lang w:val="en-GB"/>
        </w:rPr>
        <w:t>Develop a problem definition for</w:t>
      </w:r>
      <w:r w:rsidR="00A05AC0">
        <w:rPr>
          <w:lang w:val="en-GB"/>
        </w:rPr>
        <w:t xml:space="preserve"> t</w:t>
      </w:r>
      <w:r w:rsidRPr="00D75587">
        <w:rPr>
          <w:lang w:val="en-GB"/>
        </w:rPr>
        <w:t>he possible successor programme.</w:t>
      </w:r>
    </w:p>
    <w:p w14:paraId="42411982" w14:textId="41A62845" w:rsidR="00DF6A46" w:rsidRPr="00D75587" w:rsidRDefault="00D75587" w:rsidP="00D75587">
      <w:pPr>
        <w:spacing w:after="160" w:line="259" w:lineRule="auto"/>
        <w:jc w:val="both"/>
        <w:rPr>
          <w:lang w:val="en-GB"/>
        </w:rPr>
      </w:pPr>
      <w:r w:rsidRPr="00D75587">
        <w:rPr>
          <w:lang w:val="en-GB"/>
        </w:rPr>
        <w:t xml:space="preserve">The Commission will produce a Staff Working Document on the evaluation. </w:t>
      </w:r>
    </w:p>
    <w:p w14:paraId="438BDDB4" w14:textId="79589CF5" w:rsidR="00D75587" w:rsidRPr="00F41FED" w:rsidRDefault="00F41FED" w:rsidP="00A57789">
      <w:pPr>
        <w:spacing w:after="160" w:line="259" w:lineRule="auto"/>
        <w:jc w:val="both"/>
        <w:rPr>
          <w:rStyle w:val="Hyperlink"/>
          <w:lang w:val="en-GB"/>
        </w:rPr>
      </w:pPr>
      <w:r>
        <w:rPr>
          <w:lang w:val="en-GB"/>
        </w:rPr>
        <w:fldChar w:fldCharType="begin"/>
      </w:r>
      <w:r>
        <w:rPr>
          <w:lang w:val="en-GB"/>
        </w:rPr>
        <w:instrText xml:space="preserve"> HYPERLINK "http://ec.europa.eu/smart-regulation/roadmaps/docs/2015_eac_014_evaluation_erasmus_en.pdf" </w:instrText>
      </w:r>
      <w:r>
        <w:rPr>
          <w:lang w:val="en-GB"/>
        </w:rPr>
        <w:fldChar w:fldCharType="separate"/>
      </w:r>
      <w:r w:rsidRPr="00F41FED">
        <w:rPr>
          <w:rStyle w:val="Hyperlink"/>
          <w:lang w:val="en-GB"/>
        </w:rPr>
        <w:t xml:space="preserve">Evaluation roadmap </w:t>
      </w:r>
    </w:p>
    <w:p w14:paraId="589BCEAB" w14:textId="5E38AFC5" w:rsidR="00DF6A46" w:rsidRDefault="00F41FED" w:rsidP="00A57789">
      <w:pPr>
        <w:spacing w:after="160" w:line="259" w:lineRule="auto"/>
        <w:jc w:val="both"/>
        <w:rPr>
          <w:rStyle w:val="Hyperlink"/>
          <w:lang w:val="en-GB"/>
        </w:rPr>
      </w:pPr>
      <w:r>
        <w:rPr>
          <w:lang w:val="en-GB"/>
        </w:rPr>
        <w:fldChar w:fldCharType="end"/>
      </w:r>
      <w:hyperlink r:id="rId36" w:history="1">
        <w:r w:rsidR="00DF6A46" w:rsidRPr="00DF6A46">
          <w:rPr>
            <w:rStyle w:val="Hyperlink"/>
            <w:lang w:val="en-GB"/>
          </w:rPr>
          <w:t>The Erasmus+ 2014 report</w:t>
        </w:r>
      </w:hyperlink>
    </w:p>
    <w:p w14:paraId="5B6EB8E2" w14:textId="05E70503" w:rsidR="00A05AC0" w:rsidRPr="00F41FED" w:rsidRDefault="00F41FED" w:rsidP="00F41FED">
      <w:pPr>
        <w:pStyle w:val="Kop2"/>
      </w:pPr>
      <w:bookmarkStart w:id="19" w:name="_Ref444161293"/>
      <w:bookmarkStart w:id="20" w:name="_Toc444869842"/>
      <w:r w:rsidRPr="00F41FED">
        <w:t xml:space="preserve">Council </w:t>
      </w:r>
      <w:r w:rsidR="00A05AC0" w:rsidRPr="00F41FED">
        <w:t>Resolution on promoting socio-economic development and inclusiveness in the EU through education</w:t>
      </w:r>
      <w:bookmarkEnd w:id="19"/>
      <w:bookmarkEnd w:id="20"/>
      <w:r w:rsidR="00A05AC0" w:rsidRPr="00F41FED">
        <w:t xml:space="preserve"> </w:t>
      </w:r>
    </w:p>
    <w:p w14:paraId="480732EB" w14:textId="0756CE29" w:rsidR="00A05AC0" w:rsidRPr="00A05AC0" w:rsidRDefault="00A05AC0" w:rsidP="00A05AC0">
      <w:pPr>
        <w:rPr>
          <w:lang w:val="en-GB" w:eastAsia="en-GB"/>
        </w:rPr>
      </w:pPr>
      <w:r>
        <w:rPr>
          <w:lang w:val="en-GB" w:eastAsia="en-GB"/>
        </w:rPr>
        <w:t>24 February 2016</w:t>
      </w:r>
      <w:r w:rsidR="004D59B3">
        <w:rPr>
          <w:lang w:val="en-GB" w:eastAsia="en-GB"/>
        </w:rPr>
        <w:t xml:space="preserve"> (Education, Youth, </w:t>
      </w:r>
      <w:r>
        <w:rPr>
          <w:lang w:val="en-GB" w:eastAsia="en-GB"/>
        </w:rPr>
        <w:t xml:space="preserve"> Culture</w:t>
      </w:r>
      <w:r w:rsidR="004D59B3">
        <w:rPr>
          <w:lang w:val="en-GB" w:eastAsia="en-GB"/>
        </w:rPr>
        <w:t xml:space="preserve"> and Sports</w:t>
      </w:r>
      <w:r>
        <w:rPr>
          <w:lang w:val="en-GB" w:eastAsia="en-GB"/>
        </w:rPr>
        <w:t xml:space="preserve"> Council)</w:t>
      </w:r>
    </w:p>
    <w:p w14:paraId="7AFA113C" w14:textId="77777777" w:rsidR="00A05AC0" w:rsidRDefault="00A05AC0" w:rsidP="00A05AC0">
      <w:pPr>
        <w:pStyle w:val="Normaalweb"/>
        <w:jc w:val="both"/>
        <w:rPr>
          <w:rFonts w:asciiTheme="minorHAnsi" w:eastAsiaTheme="minorHAnsi" w:hAnsiTheme="minorHAnsi" w:cstheme="minorBidi"/>
          <w:sz w:val="22"/>
          <w:szCs w:val="22"/>
          <w:lang w:val="en-GB" w:eastAsia="en-GB"/>
        </w:rPr>
      </w:pPr>
      <w:r w:rsidRPr="00A05AC0">
        <w:rPr>
          <w:rFonts w:asciiTheme="minorHAnsi" w:eastAsiaTheme="minorHAnsi" w:hAnsiTheme="minorHAnsi" w:cstheme="minorBidi"/>
          <w:sz w:val="22"/>
          <w:szCs w:val="22"/>
          <w:lang w:val="en-GB" w:eastAsia="en-GB"/>
        </w:rPr>
        <w:t xml:space="preserve">This text is </w:t>
      </w:r>
      <w:r w:rsidRPr="00A05AC0">
        <w:rPr>
          <w:rFonts w:asciiTheme="minorHAnsi" w:eastAsiaTheme="minorHAnsi" w:hAnsiTheme="minorHAnsi" w:cstheme="minorBidi"/>
          <w:b/>
          <w:sz w:val="22"/>
          <w:szCs w:val="22"/>
          <w:lang w:val="en-GB" w:eastAsia="en-GB"/>
        </w:rPr>
        <w:t>the contribution of education and training to the European Semester 2016</w:t>
      </w:r>
      <w:r w:rsidRPr="00A05AC0">
        <w:rPr>
          <w:rFonts w:asciiTheme="minorHAnsi" w:eastAsiaTheme="minorHAnsi" w:hAnsiTheme="minorHAnsi" w:cstheme="minorBidi"/>
          <w:sz w:val="22"/>
          <w:szCs w:val="22"/>
          <w:lang w:val="en-GB" w:eastAsia="en-GB"/>
        </w:rPr>
        <w:t xml:space="preserve">. </w:t>
      </w:r>
    </w:p>
    <w:p w14:paraId="123F9297" w14:textId="66742FDE" w:rsidR="00A05AC0" w:rsidRPr="00A05AC0" w:rsidRDefault="00A05AC0" w:rsidP="00A05AC0">
      <w:pPr>
        <w:pStyle w:val="Normaalweb"/>
        <w:jc w:val="both"/>
        <w:rPr>
          <w:rFonts w:asciiTheme="minorHAnsi" w:eastAsiaTheme="minorHAnsi" w:hAnsiTheme="minorHAnsi" w:cstheme="minorBidi"/>
          <w:sz w:val="22"/>
          <w:szCs w:val="22"/>
          <w:lang w:val="en-GB" w:eastAsia="en-GB"/>
        </w:rPr>
      </w:pPr>
      <w:r w:rsidRPr="00A05AC0">
        <w:rPr>
          <w:rFonts w:asciiTheme="minorHAnsi" w:eastAsiaTheme="minorHAnsi" w:hAnsiTheme="minorHAnsi" w:cstheme="minorBidi"/>
          <w:sz w:val="22"/>
          <w:szCs w:val="22"/>
          <w:lang w:val="en-GB" w:eastAsia="en-GB"/>
        </w:rPr>
        <w:t>It focuses on:</w:t>
      </w:r>
    </w:p>
    <w:p w14:paraId="2D0F4554" w14:textId="6E0D58A4" w:rsidR="00C2654E" w:rsidRDefault="00A05AC0" w:rsidP="00702EF8">
      <w:pPr>
        <w:pStyle w:val="Lijstalinea"/>
        <w:numPr>
          <w:ilvl w:val="0"/>
          <w:numId w:val="5"/>
        </w:numPr>
        <w:spacing w:after="160" w:line="259" w:lineRule="auto"/>
        <w:jc w:val="both"/>
        <w:rPr>
          <w:lang w:val="en-GB"/>
        </w:rPr>
      </w:pPr>
      <w:r w:rsidRPr="00A05AC0">
        <w:rPr>
          <w:lang w:val="en-GB"/>
        </w:rPr>
        <w:t>ensuring effective investment in education</w:t>
      </w:r>
    </w:p>
    <w:p w14:paraId="2BE75AA9" w14:textId="1697D28A" w:rsidR="00A05AC0" w:rsidRPr="00A05AC0" w:rsidRDefault="00C2654E" w:rsidP="00C2654E">
      <w:pPr>
        <w:pStyle w:val="Lijstalinea"/>
        <w:spacing w:after="160" w:line="259" w:lineRule="auto"/>
        <w:ind w:left="1080"/>
        <w:jc w:val="both"/>
        <w:rPr>
          <w:lang w:val="en-GB"/>
        </w:rPr>
      </w:pPr>
      <w:r>
        <w:rPr>
          <w:lang w:val="en-GB"/>
        </w:rPr>
        <w:t>T</w:t>
      </w:r>
      <w:r w:rsidR="00A05AC0" w:rsidRPr="00A05AC0">
        <w:rPr>
          <w:lang w:val="en-GB"/>
        </w:rPr>
        <w:t>argeted reforms of education systems, with a view to improving their performance in terms of learning outcomes as part of the overall efforts needed to restore jobs and sustainable growth. Since it is growth</w:t>
      </w:r>
      <w:r w:rsidR="00A05AC0">
        <w:rPr>
          <w:lang w:val="en-GB"/>
        </w:rPr>
        <w:t>-</w:t>
      </w:r>
      <w:r w:rsidR="00A05AC0" w:rsidRPr="00A05AC0">
        <w:rPr>
          <w:lang w:val="en-GB"/>
        </w:rPr>
        <w:t xml:space="preserve">friendly and supports both short-term recovery and long-term economic growth, investment in education and training should be prioritised both at regional, national and EU level. This need not in all cases be a matter of increasing budgets, but may instead be one of better targeting expenditure and providing the right quality-enhancing incentives.   </w:t>
      </w:r>
    </w:p>
    <w:p w14:paraId="110E777A" w14:textId="50A0CF37" w:rsidR="00C2654E" w:rsidRDefault="00A05AC0" w:rsidP="00702EF8">
      <w:pPr>
        <w:pStyle w:val="Lijstalinea"/>
        <w:numPr>
          <w:ilvl w:val="0"/>
          <w:numId w:val="5"/>
        </w:numPr>
        <w:spacing w:after="160" w:line="259" w:lineRule="auto"/>
        <w:jc w:val="both"/>
        <w:rPr>
          <w:lang w:val="en-GB"/>
        </w:rPr>
      </w:pPr>
      <w:r w:rsidRPr="00A05AC0">
        <w:rPr>
          <w:lang w:val="en-GB"/>
        </w:rPr>
        <w:t>responding to skill gaps and anticipating skills requirements</w:t>
      </w:r>
    </w:p>
    <w:p w14:paraId="658DDAE3" w14:textId="0DE76E59" w:rsidR="00A05AC0" w:rsidRPr="00A05AC0" w:rsidRDefault="00C2654E" w:rsidP="00C2654E">
      <w:pPr>
        <w:pStyle w:val="Lijstalinea"/>
        <w:spacing w:after="160" w:line="259" w:lineRule="auto"/>
        <w:ind w:left="1080"/>
        <w:jc w:val="both"/>
        <w:rPr>
          <w:lang w:val="en-GB"/>
        </w:rPr>
      </w:pPr>
      <w:r>
        <w:rPr>
          <w:lang w:val="en-GB"/>
        </w:rPr>
        <w:t>S</w:t>
      </w:r>
      <w:r w:rsidR="00A05AC0" w:rsidRPr="00A05AC0">
        <w:rPr>
          <w:lang w:val="en-GB"/>
        </w:rPr>
        <w:t>kills mismatches and skills gaps should be addressed as a matter of priority by both the education and the employment sectors. Amongst other things, this means that greater emphasis is needed on the deve</w:t>
      </w:r>
      <w:r w:rsidR="00A05AC0">
        <w:rPr>
          <w:lang w:val="en-GB"/>
        </w:rPr>
        <w:t xml:space="preserve">lopment of transversal skills </w:t>
      </w:r>
      <w:r w:rsidR="00A05AC0" w:rsidRPr="00A05AC0">
        <w:rPr>
          <w:lang w:val="en-GB"/>
        </w:rPr>
        <w:t>and that work-based learning, the anticipation of future skills requirements and education-business partnerships should be promoted.</w:t>
      </w:r>
    </w:p>
    <w:p w14:paraId="5E45CA75" w14:textId="77777777" w:rsidR="00C2654E" w:rsidRDefault="00A05AC0" w:rsidP="00702EF8">
      <w:pPr>
        <w:pStyle w:val="Lijstalinea"/>
        <w:numPr>
          <w:ilvl w:val="0"/>
          <w:numId w:val="5"/>
        </w:numPr>
        <w:spacing w:after="160" w:line="259" w:lineRule="auto"/>
        <w:jc w:val="both"/>
        <w:rPr>
          <w:lang w:val="en-GB"/>
        </w:rPr>
      </w:pPr>
      <w:r w:rsidRPr="00A05AC0">
        <w:rPr>
          <w:lang w:val="en-GB"/>
        </w:rPr>
        <w:t>addressing education for citizenship and social inclusion</w:t>
      </w:r>
    </w:p>
    <w:p w14:paraId="0E1319F9" w14:textId="3674C073" w:rsidR="00A05AC0" w:rsidRPr="00A05AC0" w:rsidRDefault="00A05AC0" w:rsidP="00C2654E">
      <w:pPr>
        <w:pStyle w:val="Lijstalinea"/>
        <w:spacing w:after="160" w:line="259" w:lineRule="auto"/>
        <w:ind w:left="1080"/>
        <w:jc w:val="both"/>
        <w:rPr>
          <w:lang w:val="en-GB"/>
        </w:rPr>
      </w:pPr>
      <w:r>
        <w:rPr>
          <w:lang w:val="en-GB"/>
        </w:rPr>
        <w:t>E</w:t>
      </w:r>
      <w:r w:rsidRPr="00A05AC0">
        <w:rPr>
          <w:lang w:val="en-GB"/>
        </w:rPr>
        <w:t xml:space="preserve">ducation systems should seek to increase their emancipatory effect, for all regardless of socio-economic status, migrant background or gender. This means opening up education systems to respond to the increasing diversity of learners and forging links with all relevant stakeholders.   </w:t>
      </w:r>
    </w:p>
    <w:p w14:paraId="19D0E31B" w14:textId="12DC3622" w:rsidR="00A05AC0" w:rsidRDefault="0069572D" w:rsidP="00A05AC0">
      <w:pPr>
        <w:spacing w:before="100" w:beforeAutospacing="1" w:after="100" w:afterAutospacing="1" w:line="240" w:lineRule="auto"/>
        <w:rPr>
          <w:color w:val="555555"/>
          <w:lang w:val="en"/>
        </w:rPr>
      </w:pPr>
      <w:hyperlink r:id="rId37" w:history="1">
        <w:r w:rsidR="00A05AC0" w:rsidRPr="00A05AC0">
          <w:rPr>
            <w:rStyle w:val="Hyperlink"/>
            <w:lang w:val="en"/>
          </w:rPr>
          <w:t>The draft resolution</w:t>
        </w:r>
      </w:hyperlink>
    </w:p>
    <w:p w14:paraId="15E09F22" w14:textId="7213E963" w:rsidR="005D1FA9" w:rsidRPr="00F41FED" w:rsidRDefault="00702EF8" w:rsidP="00F41FED">
      <w:pPr>
        <w:pStyle w:val="Kop2"/>
      </w:pPr>
      <w:bookmarkStart w:id="21" w:name="_Ref444160869"/>
      <w:bookmarkStart w:id="22" w:name="_Toc444869843"/>
      <w:r w:rsidRPr="00F41FED">
        <w:t xml:space="preserve">A new </w:t>
      </w:r>
      <w:r w:rsidR="005D1FA9" w:rsidRPr="00F41FED">
        <w:t>Skills Agenda</w:t>
      </w:r>
      <w:r w:rsidRPr="00F41FED">
        <w:t xml:space="preserve"> for Europe</w:t>
      </w:r>
      <w:bookmarkEnd w:id="21"/>
      <w:bookmarkEnd w:id="22"/>
    </w:p>
    <w:p w14:paraId="68B35138" w14:textId="50DAB9BA" w:rsidR="005D1FA9" w:rsidRPr="00F41FED" w:rsidRDefault="00702EF8" w:rsidP="00F41FED">
      <w:pPr>
        <w:pStyle w:val="Kop3"/>
      </w:pPr>
      <w:bookmarkStart w:id="23" w:name="_Toc444869844"/>
      <w:r w:rsidRPr="00F41FED">
        <w:t xml:space="preserve">Conference: </w:t>
      </w:r>
      <w:r w:rsidR="005D1FA9" w:rsidRPr="00F41FED">
        <w:t>Skills for a lifetime – towards a future proof VET</w:t>
      </w:r>
      <w:bookmarkEnd w:id="23"/>
    </w:p>
    <w:p w14:paraId="423FCDBA" w14:textId="77777777" w:rsidR="005D1FA9" w:rsidRPr="005D1FA9" w:rsidRDefault="005D1FA9" w:rsidP="005D1FA9">
      <w:pPr>
        <w:jc w:val="both"/>
        <w:rPr>
          <w:lang w:val="en-GB" w:eastAsia="en-GB"/>
        </w:rPr>
      </w:pPr>
      <w:r w:rsidRPr="005D1FA9">
        <w:rPr>
          <w:lang w:val="en-GB" w:eastAsia="en-GB"/>
        </w:rPr>
        <w:t>16-17 February 2016, Dutch Presidency of the EU</w:t>
      </w:r>
    </w:p>
    <w:p w14:paraId="24C42021" w14:textId="0AB80654" w:rsidR="005D1FA9" w:rsidRPr="005D1FA9" w:rsidRDefault="005D1FA9" w:rsidP="005D1FA9">
      <w:pPr>
        <w:jc w:val="both"/>
        <w:rPr>
          <w:lang w:val="en-GB" w:eastAsia="en-GB"/>
        </w:rPr>
      </w:pPr>
      <w:r w:rsidRPr="005D1FA9">
        <w:rPr>
          <w:lang w:val="en-GB" w:eastAsia="en-GB"/>
        </w:rPr>
        <w:t xml:space="preserve">This conference is focusing on VET that provides fundamentals for a starting position on the labour market, and is at the same time capable of responding to learning needs that may arise in a subsequent career. </w:t>
      </w:r>
    </w:p>
    <w:p w14:paraId="13115760" w14:textId="77777777" w:rsidR="005D1FA9" w:rsidRPr="005D1FA9" w:rsidRDefault="005D1FA9" w:rsidP="005D1FA9">
      <w:pPr>
        <w:jc w:val="both"/>
        <w:rPr>
          <w:lang w:val="en-GB" w:eastAsia="en-GB"/>
        </w:rPr>
      </w:pPr>
      <w:r w:rsidRPr="005D1FA9">
        <w:rPr>
          <w:lang w:val="en-GB" w:eastAsia="en-GB"/>
        </w:rPr>
        <w:t xml:space="preserve">The core of the conference involved demonstrating best practices and bringing together people employed in education and business. The aim of the Dutch Presidency is that the conference results in new ideas which could be input for the broader ‘Skills Agenda’ announced May 2016 and related discussions in the Council (24 February 2016). </w:t>
      </w:r>
    </w:p>
    <w:p w14:paraId="1B51B8FF" w14:textId="77777777" w:rsidR="005D1FA9" w:rsidRPr="005D1FA9" w:rsidRDefault="005D1FA9" w:rsidP="005D1FA9">
      <w:pPr>
        <w:tabs>
          <w:tab w:val="left" w:pos="5228"/>
        </w:tabs>
        <w:jc w:val="both"/>
        <w:rPr>
          <w:lang w:val="en-GB" w:eastAsia="en-GB"/>
        </w:rPr>
      </w:pPr>
      <w:r w:rsidRPr="005D1FA9">
        <w:rPr>
          <w:lang w:val="en-GB" w:eastAsia="en-GB"/>
        </w:rPr>
        <w:t>Attention was given to the three following themes:</w:t>
      </w:r>
      <w:r w:rsidRPr="005D1FA9">
        <w:rPr>
          <w:lang w:val="en-GB" w:eastAsia="en-GB"/>
        </w:rPr>
        <w:tab/>
      </w:r>
    </w:p>
    <w:p w14:paraId="2932CE2D" w14:textId="276B1161" w:rsidR="005D1FA9" w:rsidRPr="005D1FA9" w:rsidRDefault="005D1FA9" w:rsidP="00702EF8">
      <w:pPr>
        <w:numPr>
          <w:ilvl w:val="0"/>
          <w:numId w:val="8"/>
        </w:numPr>
        <w:contextualSpacing/>
        <w:jc w:val="both"/>
        <w:rPr>
          <w:lang w:val="en-GB" w:eastAsia="en-GB"/>
        </w:rPr>
      </w:pPr>
      <w:r w:rsidRPr="005D1FA9">
        <w:rPr>
          <w:lang w:val="en-GB" w:eastAsia="en-GB"/>
        </w:rPr>
        <w:t>Excellence in I-VET: flexible solutions in a changing labour market</w:t>
      </w:r>
      <w:r w:rsidR="00F41FED">
        <w:rPr>
          <w:lang w:val="en-GB" w:eastAsia="en-GB"/>
        </w:rPr>
        <w:t>;</w:t>
      </w:r>
    </w:p>
    <w:p w14:paraId="1D1C6F63" w14:textId="00834DBB" w:rsidR="005D1FA9" w:rsidRPr="005D1FA9" w:rsidRDefault="005D1FA9" w:rsidP="00702EF8">
      <w:pPr>
        <w:numPr>
          <w:ilvl w:val="0"/>
          <w:numId w:val="8"/>
        </w:numPr>
        <w:contextualSpacing/>
        <w:jc w:val="both"/>
        <w:rPr>
          <w:lang w:val="en-GB" w:eastAsia="en-GB"/>
        </w:rPr>
      </w:pPr>
      <w:r w:rsidRPr="005D1FA9">
        <w:rPr>
          <w:lang w:val="en-GB" w:eastAsia="en-GB"/>
        </w:rPr>
        <w:t>Facilitating careers through VET: lifelong learning for lifelong employability</w:t>
      </w:r>
      <w:r w:rsidR="00F41FED">
        <w:rPr>
          <w:lang w:val="en-GB" w:eastAsia="en-GB"/>
        </w:rPr>
        <w:t>;</w:t>
      </w:r>
    </w:p>
    <w:p w14:paraId="66E9F70A" w14:textId="1E75F681" w:rsidR="005D1FA9" w:rsidRDefault="005D1FA9" w:rsidP="00702EF8">
      <w:pPr>
        <w:numPr>
          <w:ilvl w:val="0"/>
          <w:numId w:val="8"/>
        </w:numPr>
        <w:contextualSpacing/>
        <w:jc w:val="both"/>
        <w:rPr>
          <w:lang w:val="en-GB" w:eastAsia="en-GB"/>
        </w:rPr>
      </w:pPr>
      <w:r w:rsidRPr="005D1FA9">
        <w:rPr>
          <w:lang w:val="en-GB" w:eastAsia="en-GB"/>
        </w:rPr>
        <w:t>Internationalisation in VET</w:t>
      </w:r>
      <w:r w:rsidR="00F41FED">
        <w:rPr>
          <w:lang w:val="en-GB" w:eastAsia="en-GB"/>
        </w:rPr>
        <w:t>.</w:t>
      </w:r>
    </w:p>
    <w:p w14:paraId="0360CF42" w14:textId="77777777" w:rsidR="005D1FA9" w:rsidRPr="005D1FA9" w:rsidRDefault="005D1FA9" w:rsidP="005D1FA9">
      <w:pPr>
        <w:ind w:left="720"/>
        <w:contextualSpacing/>
        <w:jc w:val="both"/>
        <w:rPr>
          <w:lang w:val="en-GB" w:eastAsia="en-GB"/>
        </w:rPr>
      </w:pPr>
    </w:p>
    <w:p w14:paraId="38B71ED0" w14:textId="77777777" w:rsidR="005D1FA9" w:rsidRDefault="0069572D" w:rsidP="005D1FA9">
      <w:pPr>
        <w:jc w:val="both"/>
        <w:rPr>
          <w:color w:val="0000FF" w:themeColor="hyperlink"/>
          <w:u w:val="single"/>
          <w:lang w:val="en-GB" w:eastAsia="en-GB"/>
        </w:rPr>
      </w:pPr>
      <w:hyperlink r:id="rId38" w:history="1">
        <w:r w:rsidR="005D1FA9" w:rsidRPr="005D1FA9">
          <w:rPr>
            <w:color w:val="0000FF" w:themeColor="hyperlink"/>
            <w:u w:val="single"/>
            <w:lang w:val="en-GB" w:eastAsia="en-GB"/>
          </w:rPr>
          <w:t>The programme</w:t>
        </w:r>
      </w:hyperlink>
    </w:p>
    <w:p w14:paraId="79A18D2D" w14:textId="77777777" w:rsidR="005D1FA9" w:rsidRPr="00F41FED" w:rsidRDefault="005D1FA9" w:rsidP="00F41FED">
      <w:pPr>
        <w:pStyle w:val="Kop3"/>
      </w:pPr>
      <w:bookmarkStart w:id="24" w:name="_Toc444869845"/>
      <w:r w:rsidRPr="00F41FED">
        <w:t>Discussion during the Education, Youth, Sports and Culture Council</w:t>
      </w:r>
      <w:bookmarkEnd w:id="24"/>
    </w:p>
    <w:p w14:paraId="120E0B61" w14:textId="77777777" w:rsidR="005D1FA9" w:rsidRDefault="005D1FA9" w:rsidP="005D1FA9">
      <w:pPr>
        <w:jc w:val="both"/>
        <w:rPr>
          <w:lang w:val="en-GB" w:eastAsia="en-GB"/>
        </w:rPr>
      </w:pPr>
      <w:r w:rsidRPr="005D1FA9">
        <w:rPr>
          <w:lang w:val="en-GB" w:eastAsia="en-GB"/>
        </w:rPr>
        <w:t xml:space="preserve">24 February 2016 </w:t>
      </w:r>
    </w:p>
    <w:p w14:paraId="41B86F05" w14:textId="77777777" w:rsidR="005D1FA9" w:rsidRDefault="005D1FA9" w:rsidP="005D1FA9">
      <w:pPr>
        <w:jc w:val="both"/>
        <w:rPr>
          <w:lang w:val="en-GB" w:eastAsia="en-GB"/>
        </w:rPr>
      </w:pPr>
      <w:r>
        <w:rPr>
          <w:lang w:val="en-GB" w:eastAsia="en-GB"/>
        </w:rPr>
        <w:t>Ministers discussed on the following statements:</w:t>
      </w:r>
    </w:p>
    <w:p w14:paraId="13FC0DE1" w14:textId="450E57EB" w:rsidR="005D1FA9" w:rsidRPr="005D1FA9" w:rsidRDefault="005D1FA9" w:rsidP="00702EF8">
      <w:pPr>
        <w:numPr>
          <w:ilvl w:val="0"/>
          <w:numId w:val="8"/>
        </w:numPr>
        <w:contextualSpacing/>
        <w:jc w:val="both"/>
        <w:rPr>
          <w:lang w:val="en-GB" w:eastAsia="en-GB"/>
        </w:rPr>
      </w:pPr>
      <w:r w:rsidRPr="005D1FA9">
        <w:rPr>
          <w:lang w:val="en-GB" w:eastAsia="en-GB"/>
        </w:rPr>
        <w:t>Statement 1</w:t>
      </w:r>
      <w:r w:rsidR="00F41FED">
        <w:rPr>
          <w:lang w:val="en-GB" w:eastAsia="en-GB"/>
        </w:rPr>
        <w:t>:</w:t>
      </w:r>
      <w:r w:rsidRPr="005D1FA9">
        <w:rPr>
          <w:lang w:val="en-GB" w:eastAsia="en-GB"/>
        </w:rPr>
        <w:t xml:space="preserve">   Curricula and teaching methods should focus on developing a broader range of skills needed for the jobs of th</w:t>
      </w:r>
      <w:r w:rsidR="00F41FED">
        <w:rPr>
          <w:lang w:val="en-GB" w:eastAsia="en-GB"/>
        </w:rPr>
        <w:t>e future and society at large;</w:t>
      </w:r>
    </w:p>
    <w:p w14:paraId="47AD31B3" w14:textId="135E6058" w:rsidR="005D1FA9" w:rsidRPr="005D1FA9" w:rsidRDefault="005D1FA9" w:rsidP="00702EF8">
      <w:pPr>
        <w:numPr>
          <w:ilvl w:val="0"/>
          <w:numId w:val="8"/>
        </w:numPr>
        <w:contextualSpacing/>
        <w:jc w:val="both"/>
        <w:rPr>
          <w:lang w:val="en-GB" w:eastAsia="en-GB"/>
        </w:rPr>
      </w:pPr>
      <w:r w:rsidRPr="005D1FA9">
        <w:rPr>
          <w:lang w:val="en-GB" w:eastAsia="en-GB"/>
        </w:rPr>
        <w:t>Statement 2</w:t>
      </w:r>
      <w:r w:rsidR="00F41FED">
        <w:rPr>
          <w:lang w:val="en-GB" w:eastAsia="en-GB"/>
        </w:rPr>
        <w:t>:</w:t>
      </w:r>
      <w:r w:rsidRPr="005D1FA9">
        <w:rPr>
          <w:lang w:val="en-GB" w:eastAsia="en-GB"/>
        </w:rPr>
        <w:t xml:space="preserve">  To reduce skills gaps and mismatches, education institutions should open up by actively engaging in partnerships with business and other rele</w:t>
      </w:r>
      <w:r w:rsidR="00F41FED">
        <w:rPr>
          <w:lang w:val="en-GB" w:eastAsia="en-GB"/>
        </w:rPr>
        <w:t>vant actors;</w:t>
      </w:r>
    </w:p>
    <w:p w14:paraId="33FBD697" w14:textId="2EABC1F7" w:rsidR="005D1FA9" w:rsidRDefault="005D1FA9" w:rsidP="00702EF8">
      <w:pPr>
        <w:numPr>
          <w:ilvl w:val="0"/>
          <w:numId w:val="8"/>
        </w:numPr>
        <w:contextualSpacing/>
        <w:jc w:val="both"/>
        <w:rPr>
          <w:lang w:val="en-GB" w:eastAsia="en-GB"/>
        </w:rPr>
      </w:pPr>
      <w:r w:rsidRPr="005D1FA9">
        <w:rPr>
          <w:lang w:val="en-GB" w:eastAsia="en-GB"/>
        </w:rPr>
        <w:t>Statement 3 Member States should step up their efforts in identifying, activating and fully utilising the skills and qualifications of present and future generations. To support national policies and cross-border mobility, better use should be made of all relevant -improved- EU instruments.</w:t>
      </w:r>
    </w:p>
    <w:p w14:paraId="26A2DD5F" w14:textId="77777777" w:rsidR="00F41FED" w:rsidRDefault="00F41FED" w:rsidP="00F41FED">
      <w:pPr>
        <w:ind w:left="720"/>
        <w:contextualSpacing/>
        <w:jc w:val="both"/>
        <w:rPr>
          <w:lang w:val="en-GB" w:eastAsia="en-GB"/>
        </w:rPr>
      </w:pPr>
    </w:p>
    <w:p w14:paraId="62A9A9AA" w14:textId="7C59AC10" w:rsidR="00A05AC0" w:rsidRPr="00A57789" w:rsidRDefault="0069572D" w:rsidP="00F41FED">
      <w:pPr>
        <w:rPr>
          <w:lang w:val="en-GB" w:eastAsia="en-GB"/>
        </w:rPr>
      </w:pPr>
      <w:hyperlink r:id="rId39" w:history="1">
        <w:r w:rsidR="005D1FA9" w:rsidRPr="005D1FA9">
          <w:rPr>
            <w:rStyle w:val="Hyperlink"/>
            <w:lang w:val="en-GB" w:eastAsia="en-GB"/>
          </w:rPr>
          <w:t>Presidency discussion paper</w:t>
        </w:r>
      </w:hyperlink>
      <w:r w:rsidR="005D1FA9">
        <w:rPr>
          <w:lang w:val="en-GB" w:eastAsia="en-GB"/>
        </w:rPr>
        <w:t xml:space="preserve"> </w:t>
      </w:r>
    </w:p>
    <w:p w14:paraId="67F2C700" w14:textId="77777777" w:rsidR="00B067D8" w:rsidRPr="00F41FED" w:rsidRDefault="00245496" w:rsidP="00F41FED">
      <w:pPr>
        <w:pStyle w:val="Kop1"/>
        <w:numPr>
          <w:ilvl w:val="0"/>
          <w:numId w:val="13"/>
        </w:numPr>
      </w:pPr>
      <w:bookmarkStart w:id="25" w:name="_Toc444869846"/>
      <w:r w:rsidRPr="00F41FED">
        <w:t>Studies, conferences and tools</w:t>
      </w:r>
      <w:bookmarkEnd w:id="25"/>
    </w:p>
    <w:p w14:paraId="67C948CD" w14:textId="77777777" w:rsidR="00AD4976" w:rsidRPr="00F41FED" w:rsidRDefault="00AD4976" w:rsidP="00F41FED">
      <w:pPr>
        <w:pStyle w:val="Kop2"/>
      </w:pPr>
      <w:bookmarkStart w:id="26" w:name="_Toc444869847"/>
      <w:r w:rsidRPr="00F41FED">
        <w:t>Education and Training Monitor 2015</w:t>
      </w:r>
      <w:bookmarkEnd w:id="26"/>
    </w:p>
    <w:p w14:paraId="2FFADFB4" w14:textId="77777777" w:rsidR="00AD4976" w:rsidRPr="00502043" w:rsidRDefault="00AD4976" w:rsidP="00AD4976">
      <w:pPr>
        <w:rPr>
          <w:lang w:val="en-GB"/>
        </w:rPr>
      </w:pPr>
      <w:r w:rsidRPr="00502043">
        <w:rPr>
          <w:lang w:val="en-GB"/>
        </w:rPr>
        <w:t>12 November 2015</w:t>
      </w:r>
    </w:p>
    <w:p w14:paraId="4664C033" w14:textId="77777777" w:rsidR="00AD4976" w:rsidRPr="00502043" w:rsidRDefault="00AD4976" w:rsidP="00F41FED">
      <w:pPr>
        <w:jc w:val="both"/>
        <w:rPr>
          <w:lang w:val="en-GB"/>
        </w:rPr>
      </w:pPr>
      <w:r w:rsidRPr="00502043">
        <w:rPr>
          <w:lang w:val="en-GB"/>
        </w:rPr>
        <w:t xml:space="preserve">This yearly report gives a picture of trends, improvements, challenges at all stages of education in the EU. </w:t>
      </w:r>
      <w:r>
        <w:rPr>
          <w:lang w:val="en-GB"/>
        </w:rPr>
        <w:t>It is the starting po</w:t>
      </w:r>
      <w:r w:rsidRPr="00502043">
        <w:rPr>
          <w:lang w:val="en-GB"/>
        </w:rPr>
        <w:t>int for assessing EU countries’ performance as a basis for the yearly country reports in the framework of the European Semester.</w:t>
      </w:r>
    </w:p>
    <w:p w14:paraId="222E4D21" w14:textId="77777777" w:rsidR="00AD4976" w:rsidRDefault="00AD4976" w:rsidP="007A4137">
      <w:r>
        <w:t>The Monitor shows:</w:t>
      </w:r>
    </w:p>
    <w:p w14:paraId="6551B457" w14:textId="4665CB7F" w:rsidR="00AD4976" w:rsidRPr="00502043" w:rsidRDefault="00AD4976" w:rsidP="00702EF8">
      <w:pPr>
        <w:pStyle w:val="Lijstalinea"/>
        <w:numPr>
          <w:ilvl w:val="0"/>
          <w:numId w:val="5"/>
        </w:numPr>
        <w:spacing w:after="160" w:line="259" w:lineRule="auto"/>
        <w:rPr>
          <w:lang w:val="en-GB"/>
        </w:rPr>
      </w:pPr>
      <w:r w:rsidRPr="00502043">
        <w:rPr>
          <w:lang w:val="en-GB"/>
        </w:rPr>
        <w:t>The share of pupils leaving school too early is 11,1 % (target 2020: maximum 10 %; in 2011: 13,4 %)</w:t>
      </w:r>
      <w:r w:rsidR="00F41FED">
        <w:rPr>
          <w:lang w:val="en-GB"/>
        </w:rPr>
        <w:t>;</w:t>
      </w:r>
    </w:p>
    <w:p w14:paraId="0A806725" w14:textId="100D6042" w:rsidR="00AD4976" w:rsidRPr="00502043" w:rsidRDefault="00AD4976" w:rsidP="00702EF8">
      <w:pPr>
        <w:pStyle w:val="Lijstalinea"/>
        <w:numPr>
          <w:ilvl w:val="0"/>
          <w:numId w:val="5"/>
        </w:numPr>
        <w:spacing w:after="160" w:line="259" w:lineRule="auto"/>
        <w:rPr>
          <w:lang w:val="en-GB"/>
        </w:rPr>
      </w:pPr>
      <w:r w:rsidRPr="00502043">
        <w:rPr>
          <w:lang w:val="en-GB"/>
        </w:rPr>
        <w:t>The share of pupils completing tertiary education is 37,9 % (target 2020: 40 %; in 2011: 34,8 %)</w:t>
      </w:r>
      <w:r w:rsidR="00F41FED">
        <w:rPr>
          <w:lang w:val="en-GB"/>
        </w:rPr>
        <w:t>;</w:t>
      </w:r>
    </w:p>
    <w:p w14:paraId="7B019B61" w14:textId="2DA1F776" w:rsidR="00AD4976" w:rsidRPr="00502043" w:rsidRDefault="00AD4976" w:rsidP="00702EF8">
      <w:pPr>
        <w:pStyle w:val="Lijstalinea"/>
        <w:numPr>
          <w:ilvl w:val="0"/>
          <w:numId w:val="5"/>
        </w:numPr>
        <w:spacing w:after="160" w:line="259" w:lineRule="auto"/>
        <w:rPr>
          <w:lang w:val="en-GB"/>
        </w:rPr>
      </w:pPr>
      <w:r w:rsidRPr="00502043">
        <w:rPr>
          <w:lang w:val="en-GB"/>
        </w:rPr>
        <w:t>The employment rate of recent graduates is 76,1 % (target 2020: 82 %; in 2008: 82 %)</w:t>
      </w:r>
      <w:r w:rsidR="00F41FED">
        <w:rPr>
          <w:lang w:val="en-GB"/>
        </w:rPr>
        <w:t>;</w:t>
      </w:r>
    </w:p>
    <w:p w14:paraId="07B2C723" w14:textId="129447E1" w:rsidR="00AD4976" w:rsidRPr="00502043" w:rsidRDefault="00AD4976" w:rsidP="00702EF8">
      <w:pPr>
        <w:pStyle w:val="Lijstalinea"/>
        <w:numPr>
          <w:ilvl w:val="0"/>
          <w:numId w:val="5"/>
        </w:numPr>
        <w:spacing w:after="160" w:line="259" w:lineRule="auto"/>
        <w:rPr>
          <w:lang w:val="en-GB"/>
        </w:rPr>
      </w:pPr>
      <w:r w:rsidRPr="00502043">
        <w:rPr>
          <w:lang w:val="en-GB"/>
        </w:rPr>
        <w:t>Participation early childhood education and care is 93,3 % (target 2020: 95 %; in 2010: 92,9 %)</w:t>
      </w:r>
      <w:r w:rsidR="00F41FED">
        <w:rPr>
          <w:lang w:val="en-GB"/>
        </w:rPr>
        <w:t>;</w:t>
      </w:r>
    </w:p>
    <w:p w14:paraId="708E3698" w14:textId="54621877" w:rsidR="00AD4976" w:rsidRPr="00502043" w:rsidRDefault="00AD4976" w:rsidP="00702EF8">
      <w:pPr>
        <w:pStyle w:val="Lijstalinea"/>
        <w:numPr>
          <w:ilvl w:val="0"/>
          <w:numId w:val="5"/>
        </w:numPr>
        <w:spacing w:after="160" w:line="259" w:lineRule="auto"/>
        <w:jc w:val="both"/>
        <w:rPr>
          <w:lang w:val="en-GB"/>
        </w:rPr>
      </w:pPr>
      <w:r w:rsidRPr="00502043">
        <w:rPr>
          <w:lang w:val="en-GB"/>
        </w:rPr>
        <w:t>Adult participation in learning is 10,7 % (target 2020: 15 %; in 2011: 8,9 %)</w:t>
      </w:r>
      <w:r w:rsidR="00F41FED">
        <w:rPr>
          <w:lang w:val="en-GB"/>
        </w:rPr>
        <w:t>;</w:t>
      </w:r>
    </w:p>
    <w:p w14:paraId="1AD15DDB" w14:textId="026583FF" w:rsidR="00AD4976" w:rsidRPr="00502043" w:rsidRDefault="00AD4976" w:rsidP="00702EF8">
      <w:pPr>
        <w:pStyle w:val="Lijstalinea"/>
        <w:numPr>
          <w:ilvl w:val="0"/>
          <w:numId w:val="5"/>
        </w:numPr>
        <w:spacing w:after="160" w:line="259" w:lineRule="auto"/>
        <w:jc w:val="both"/>
        <w:rPr>
          <w:lang w:val="en-GB"/>
        </w:rPr>
      </w:pPr>
      <w:r w:rsidRPr="00502043">
        <w:rPr>
          <w:lang w:val="en-GB"/>
        </w:rPr>
        <w:t>Underachievement in reading is 17,8 % (target 2020: max 15 %; in 2009: 19,7 %)</w:t>
      </w:r>
      <w:r w:rsidR="00F41FED">
        <w:rPr>
          <w:lang w:val="en-GB"/>
        </w:rPr>
        <w:t>;</w:t>
      </w:r>
    </w:p>
    <w:p w14:paraId="6D0A5F1E" w14:textId="089E0F85" w:rsidR="00AD4976" w:rsidRPr="00502043" w:rsidRDefault="00AD4976" w:rsidP="00702EF8">
      <w:pPr>
        <w:pStyle w:val="Lijstalinea"/>
        <w:numPr>
          <w:ilvl w:val="0"/>
          <w:numId w:val="5"/>
        </w:numPr>
        <w:spacing w:after="160" w:line="259" w:lineRule="auto"/>
        <w:jc w:val="both"/>
        <w:rPr>
          <w:lang w:val="en-GB"/>
        </w:rPr>
      </w:pPr>
      <w:r w:rsidRPr="00502043">
        <w:rPr>
          <w:lang w:val="en-GB"/>
        </w:rPr>
        <w:t>Un</w:t>
      </w:r>
      <w:r>
        <w:rPr>
          <w:lang w:val="en-GB"/>
        </w:rPr>
        <w:t>d</w:t>
      </w:r>
      <w:r w:rsidRPr="00502043">
        <w:rPr>
          <w:lang w:val="en-GB"/>
        </w:rPr>
        <w:t>erachievement in maths is 22,1 % (target 2020: max 15 %; in 2009: 22,3 %)</w:t>
      </w:r>
      <w:r w:rsidR="00F41FED">
        <w:rPr>
          <w:lang w:val="en-GB"/>
        </w:rPr>
        <w:t>;</w:t>
      </w:r>
    </w:p>
    <w:p w14:paraId="41EFE375" w14:textId="534E9716" w:rsidR="00AD4976" w:rsidRPr="00502043" w:rsidRDefault="00AD4976" w:rsidP="00702EF8">
      <w:pPr>
        <w:pStyle w:val="Lijstalinea"/>
        <w:numPr>
          <w:ilvl w:val="0"/>
          <w:numId w:val="5"/>
        </w:numPr>
        <w:spacing w:after="160" w:line="259" w:lineRule="auto"/>
        <w:jc w:val="both"/>
        <w:rPr>
          <w:lang w:val="en-GB"/>
        </w:rPr>
      </w:pPr>
      <w:r w:rsidRPr="00502043">
        <w:rPr>
          <w:lang w:val="en-GB"/>
        </w:rPr>
        <w:t>Underachievement in science is 16,6  % (target 2020: max 15 %; in 2009: 17,8 %)</w:t>
      </w:r>
      <w:r w:rsidR="00F41FED">
        <w:rPr>
          <w:lang w:val="en-GB"/>
        </w:rPr>
        <w:t>.</w:t>
      </w:r>
    </w:p>
    <w:p w14:paraId="2AF5C62A" w14:textId="77777777" w:rsidR="00AD4976" w:rsidRPr="00502043" w:rsidRDefault="00AD4976" w:rsidP="007A4137">
      <w:pPr>
        <w:jc w:val="both"/>
        <w:rPr>
          <w:lang w:val="en-GB"/>
        </w:rPr>
      </w:pPr>
      <w:r w:rsidRPr="00502043">
        <w:rPr>
          <w:lang w:val="en-GB"/>
        </w:rPr>
        <w:t>There is progress to reach most of the targets. Nonetheless, big</w:t>
      </w:r>
      <w:r>
        <w:rPr>
          <w:lang w:val="en-GB"/>
        </w:rPr>
        <w:t xml:space="preserve"> gaps remain between and within</w:t>
      </w:r>
      <w:r w:rsidRPr="00502043">
        <w:rPr>
          <w:lang w:val="en-GB"/>
        </w:rPr>
        <w:t xml:space="preserve"> Member States. The social divide does not disappear. And there is the refugee crisis. In this context, two central issues for the near future will be:</w:t>
      </w:r>
    </w:p>
    <w:p w14:paraId="31BFF7C0" w14:textId="180BE934" w:rsidR="00AD4976" w:rsidRPr="00502043" w:rsidRDefault="00AD4976" w:rsidP="00702EF8">
      <w:pPr>
        <w:pStyle w:val="Lijstalinea"/>
        <w:numPr>
          <w:ilvl w:val="0"/>
          <w:numId w:val="5"/>
        </w:numPr>
        <w:spacing w:after="160" w:line="259" w:lineRule="auto"/>
        <w:jc w:val="both"/>
        <w:rPr>
          <w:lang w:val="en-GB"/>
        </w:rPr>
      </w:pPr>
      <w:r w:rsidRPr="00502043">
        <w:rPr>
          <w:lang w:val="en-GB"/>
        </w:rPr>
        <w:t>Boosting investment in education and training (invest more and invest smartly)</w:t>
      </w:r>
      <w:r w:rsidR="00F41FED">
        <w:rPr>
          <w:lang w:val="en-GB"/>
        </w:rPr>
        <w:t>;</w:t>
      </w:r>
    </w:p>
    <w:p w14:paraId="2C9046F6" w14:textId="77777777" w:rsidR="00A57789" w:rsidRDefault="00AD4976" w:rsidP="00702EF8">
      <w:pPr>
        <w:pStyle w:val="Lijstalinea"/>
        <w:numPr>
          <w:ilvl w:val="0"/>
          <w:numId w:val="5"/>
        </w:numPr>
        <w:spacing w:after="160" w:line="259" w:lineRule="auto"/>
        <w:jc w:val="both"/>
        <w:rPr>
          <w:lang w:val="en-GB"/>
        </w:rPr>
      </w:pPr>
      <w:r w:rsidRPr="00AD4976">
        <w:rPr>
          <w:lang w:val="en-GB"/>
        </w:rPr>
        <w:t>Promoting inclusion through education.</w:t>
      </w:r>
    </w:p>
    <w:p w14:paraId="454F083D" w14:textId="3C6C28DF" w:rsidR="00F41FED" w:rsidRDefault="0069572D" w:rsidP="007A4137">
      <w:pPr>
        <w:spacing w:after="160" w:line="259" w:lineRule="auto"/>
        <w:jc w:val="both"/>
        <w:rPr>
          <w:lang w:val="en-GB"/>
        </w:rPr>
      </w:pPr>
      <w:hyperlink r:id="rId40" w:history="1">
        <w:r w:rsidR="00F41FED" w:rsidRPr="00F41FED">
          <w:rPr>
            <w:rStyle w:val="Hyperlink"/>
            <w:lang w:val="en-GB"/>
          </w:rPr>
          <w:t>The monitor</w:t>
        </w:r>
      </w:hyperlink>
    </w:p>
    <w:p w14:paraId="13A5C915" w14:textId="77777777" w:rsidR="00A57789" w:rsidRDefault="003072A4" w:rsidP="007A4137">
      <w:pPr>
        <w:spacing w:after="160" w:line="259" w:lineRule="auto"/>
        <w:jc w:val="both"/>
        <w:rPr>
          <w:lang w:val="en-GB"/>
        </w:rPr>
      </w:pPr>
      <w:r>
        <w:rPr>
          <w:lang w:val="en-GB"/>
        </w:rPr>
        <w:t xml:space="preserve">The </w:t>
      </w:r>
      <w:hyperlink r:id="rId41" w:history="1">
        <w:r w:rsidRPr="003072A4">
          <w:rPr>
            <w:rStyle w:val="Hyperlink"/>
            <w:lang w:val="en-GB"/>
          </w:rPr>
          <w:t>Eurydice report</w:t>
        </w:r>
      </w:hyperlink>
      <w:r>
        <w:rPr>
          <w:lang w:val="en-GB"/>
        </w:rPr>
        <w:t xml:space="preserve"> ‘</w:t>
      </w:r>
      <w:r w:rsidRPr="003072A4">
        <w:rPr>
          <w:lang w:val="en-GB"/>
        </w:rPr>
        <w:t>Structural indicators for monitoring education and training systems in Europe 2015</w:t>
      </w:r>
      <w:r>
        <w:rPr>
          <w:lang w:val="en-GB"/>
        </w:rPr>
        <w:t xml:space="preserve">’, also published on 12 November 2015, </w:t>
      </w:r>
      <w:r w:rsidRPr="003072A4">
        <w:rPr>
          <w:lang w:val="en-GB"/>
        </w:rPr>
        <w:t xml:space="preserve">provides background and complementary information to the Education and Training Monitor 2015; it includes detailed information on each structural indicator for the reference year 2014-2015. </w:t>
      </w:r>
    </w:p>
    <w:p w14:paraId="5A1FE36C" w14:textId="77777777" w:rsidR="00A767AE" w:rsidRPr="00F41FED" w:rsidRDefault="00A767AE" w:rsidP="00F41FED">
      <w:pPr>
        <w:pStyle w:val="Kop2"/>
      </w:pPr>
      <w:bookmarkStart w:id="27" w:name="_Toc444869848"/>
      <w:r w:rsidRPr="00F41FED">
        <w:t>Civil Society Day on the follow-up of the Paris Declaration</w:t>
      </w:r>
      <w:bookmarkEnd w:id="27"/>
    </w:p>
    <w:p w14:paraId="14649A4D" w14:textId="77777777" w:rsidR="00A767AE" w:rsidRPr="00A767AE" w:rsidRDefault="00A767AE" w:rsidP="00A767AE">
      <w:pPr>
        <w:rPr>
          <w:lang w:val="en-GB" w:eastAsia="en-GB"/>
        </w:rPr>
      </w:pPr>
      <w:r w:rsidRPr="00A767AE">
        <w:rPr>
          <w:lang w:val="en-GB" w:eastAsia="en-GB"/>
        </w:rPr>
        <w:t>15 December 2015</w:t>
      </w:r>
    </w:p>
    <w:p w14:paraId="72803D4F" w14:textId="77777777" w:rsidR="00A767AE" w:rsidRPr="00A767AE" w:rsidRDefault="00A767AE" w:rsidP="00A767AE">
      <w:pPr>
        <w:jc w:val="both"/>
        <w:rPr>
          <w:lang w:val="en-GB" w:eastAsia="en-GB"/>
        </w:rPr>
      </w:pPr>
      <w:r w:rsidRPr="00A767AE">
        <w:rPr>
          <w:lang w:val="en-GB" w:eastAsia="en-GB"/>
        </w:rPr>
        <w:t>The European Commission DG EAC and the Lifelong Learning Platform (EUCIS-LLL) organised a Civil Society Day focused on the follow-up of the Paris Declaration. After the Education, Training and Youth Forum organised in October this year, this meeting aimed for a more in-depth debate with civil society organisations around the place and role of education in promoting equity, non-discrimination, fundamental values, intercultural competences and active citizenship.</w:t>
      </w:r>
    </w:p>
    <w:p w14:paraId="3CBCE886" w14:textId="77777777" w:rsidR="00A767AE" w:rsidRPr="00A767AE" w:rsidRDefault="00A767AE" w:rsidP="00A767AE">
      <w:pPr>
        <w:jc w:val="both"/>
        <w:rPr>
          <w:lang w:val="en-GB" w:eastAsia="en-GB"/>
        </w:rPr>
      </w:pPr>
      <w:r w:rsidRPr="00A767AE">
        <w:rPr>
          <w:lang w:val="en-GB" w:eastAsia="en-GB"/>
        </w:rPr>
        <w:t>Participants were invited to discuss two strategic questions: what are the main concerns and challenges ahead and what policies and actions are needed from the EU level? They shared the view that many local, regional, national and European initiatives are taking place all over Europe. Key success factors include working in partnership and ensuring a strong political commitment to address some of these issues (e.g. outreach strategies, charters and codes of conduct). The challenge is then to mainstream and upscale good initiatives, address existing gaps with adequate measures and funding as well as ensure greater policy coherence. More awareness is needed on the role of education to foster inclusion and active citizenship.</w:t>
      </w:r>
    </w:p>
    <w:p w14:paraId="36313B04" w14:textId="77777777" w:rsidR="00A767AE" w:rsidRPr="00A767AE" w:rsidRDefault="00A767AE" w:rsidP="00A767AE">
      <w:pPr>
        <w:jc w:val="both"/>
        <w:rPr>
          <w:lang w:val="en-GB" w:eastAsia="en-GB"/>
        </w:rPr>
      </w:pPr>
      <w:r w:rsidRPr="00A767AE">
        <w:rPr>
          <w:lang w:val="en-GB" w:eastAsia="en-GB"/>
        </w:rPr>
        <w:t>The results of these discussions will feed in the work of DG EAC related to the follow up of the Paris Declaration as well as of the related priorities of the ET 2020 Joint Report adopted by the Council on 23 November 2015.</w:t>
      </w:r>
    </w:p>
    <w:p w14:paraId="19B1D63B" w14:textId="1AA8FA88" w:rsidR="00A767AE" w:rsidRPr="00A767AE" w:rsidRDefault="0069572D" w:rsidP="00A767AE">
      <w:pPr>
        <w:jc w:val="both"/>
        <w:rPr>
          <w:lang w:val="en-GB" w:eastAsia="en-GB"/>
        </w:rPr>
      </w:pPr>
      <w:hyperlink r:id="rId42" w:history="1">
        <w:r w:rsidR="00A767AE" w:rsidRPr="00A767AE">
          <w:rPr>
            <w:rStyle w:val="Hyperlink"/>
            <w:lang w:val="en-GB" w:eastAsia="en-GB"/>
          </w:rPr>
          <w:t>Civil Society Day Policy Recommendations</w:t>
        </w:r>
      </w:hyperlink>
    </w:p>
    <w:p w14:paraId="56745DBD" w14:textId="77777777" w:rsidR="00F266BE" w:rsidRPr="009D0BD2" w:rsidRDefault="00F266BE" w:rsidP="009D0BD2">
      <w:pPr>
        <w:pStyle w:val="Kop2"/>
      </w:pPr>
      <w:bookmarkStart w:id="28" w:name="_Toc444869849"/>
      <w:r w:rsidRPr="009D0BD2">
        <w:t>EU Skills Panorama</w:t>
      </w:r>
      <w:bookmarkEnd w:id="28"/>
    </w:p>
    <w:p w14:paraId="493D005D" w14:textId="7333D139" w:rsidR="00F266BE" w:rsidRPr="00954862" w:rsidRDefault="00954862" w:rsidP="007A4137">
      <w:pPr>
        <w:jc w:val="both"/>
        <w:rPr>
          <w:lang w:val="en-GB" w:eastAsia="en-GB"/>
        </w:rPr>
      </w:pPr>
      <w:r w:rsidRPr="00954862">
        <w:rPr>
          <w:lang w:val="en-GB" w:eastAsia="en-GB"/>
        </w:rPr>
        <w:t xml:space="preserve">Official launch of the new website, </w:t>
      </w:r>
      <w:r w:rsidR="00F266BE" w:rsidRPr="00954862">
        <w:rPr>
          <w:lang w:val="en-GB" w:eastAsia="en-GB"/>
        </w:rPr>
        <w:t>1 December 2015</w:t>
      </w:r>
    </w:p>
    <w:p w14:paraId="4443CE6B" w14:textId="77777777" w:rsidR="00954862" w:rsidRPr="00C16E2F" w:rsidRDefault="00954862" w:rsidP="007A4137">
      <w:pPr>
        <w:jc w:val="both"/>
        <w:rPr>
          <w:lang w:val="en-GB" w:eastAsia="en-GB"/>
        </w:rPr>
      </w:pPr>
      <w:r w:rsidRPr="00C16E2F">
        <w:rPr>
          <w:lang w:val="en-GB" w:eastAsia="en-GB"/>
        </w:rPr>
        <w:t>Skills Panorama helps to keep up with the latest developments</w:t>
      </w:r>
      <w:r w:rsidR="007A4137">
        <w:rPr>
          <w:lang w:val="en-GB" w:eastAsia="en-GB"/>
        </w:rPr>
        <w:t xml:space="preserve"> in labour markets and skills needs</w:t>
      </w:r>
      <w:r w:rsidRPr="00C16E2F">
        <w:rPr>
          <w:lang w:val="en-GB" w:eastAsia="en-GB"/>
        </w:rPr>
        <w:t xml:space="preserve"> and make useful comparisons to previous trends or identify anticipated changes. Skills Panorama aims to improve Europe’s capacity to assess and anticipate skill needs to help make education and training systems more responsive to labour market needs and to match better skill supply and demand across Europe.</w:t>
      </w:r>
    </w:p>
    <w:p w14:paraId="7852C884" w14:textId="77777777" w:rsidR="00954862" w:rsidRPr="00C16E2F" w:rsidRDefault="00954862" w:rsidP="007A4137">
      <w:pPr>
        <w:jc w:val="both"/>
        <w:rPr>
          <w:lang w:val="en-GB" w:eastAsia="en-GB"/>
        </w:rPr>
      </w:pPr>
      <w:r w:rsidRPr="00C16E2F">
        <w:rPr>
          <w:lang w:val="en-GB" w:eastAsia="en-GB"/>
        </w:rPr>
        <w:t>Skills Panorama is a tool by the European Commission, Directorate-General for Employment, Social Affairs and Inclusion and powered by Cedefop, the European Centre for the Development of Vocational Training. The European Commission ensures the strategic steering to the Skills Panorama, in line with EU policy objectives while Cedefop is responsible for the technical development of the site and the provision of data and information.</w:t>
      </w:r>
    </w:p>
    <w:p w14:paraId="1AE37481" w14:textId="77777777" w:rsidR="00954862" w:rsidRPr="00C16E2F" w:rsidRDefault="00954862" w:rsidP="007A4137">
      <w:pPr>
        <w:jc w:val="both"/>
        <w:rPr>
          <w:lang w:val="en-GB" w:eastAsia="en-GB"/>
        </w:rPr>
      </w:pPr>
      <w:r w:rsidRPr="00C16E2F">
        <w:rPr>
          <w:lang w:val="en-GB" w:eastAsia="en-GB"/>
        </w:rPr>
        <w:t>The new website will provide a more comprehensive and user-friendly central access point for information and intelligence on skill needs in occupations and sectors across Europe.</w:t>
      </w:r>
    </w:p>
    <w:p w14:paraId="22F938C7" w14:textId="11C3C03F" w:rsidR="00954862" w:rsidRPr="00F266BE" w:rsidRDefault="0069572D" w:rsidP="007A4137">
      <w:pPr>
        <w:jc w:val="both"/>
        <w:rPr>
          <w:lang w:val="en-GB" w:eastAsia="en-GB"/>
        </w:rPr>
      </w:pPr>
      <w:hyperlink r:id="rId43" w:history="1">
        <w:r w:rsidR="009D0BD2" w:rsidRPr="003F7D1D">
          <w:rPr>
            <w:rStyle w:val="Hyperlink"/>
            <w:lang w:val="en-GB" w:eastAsia="en-GB"/>
          </w:rPr>
          <w:t>http://skillspanorama.cedefop.europa.eu/en</w:t>
        </w:r>
      </w:hyperlink>
      <w:r w:rsidR="009D0BD2">
        <w:rPr>
          <w:lang w:val="en-GB" w:eastAsia="en-GB"/>
        </w:rPr>
        <w:t xml:space="preserve"> </w:t>
      </w:r>
    </w:p>
    <w:p w14:paraId="4E0401CF" w14:textId="77777777" w:rsidR="00B67126" w:rsidRPr="009D0BD2" w:rsidRDefault="00B67126" w:rsidP="009D0BD2">
      <w:pPr>
        <w:pStyle w:val="Kop2"/>
      </w:pPr>
      <w:bookmarkStart w:id="29" w:name="_Toc444869850"/>
      <w:r w:rsidRPr="009D0BD2">
        <w:t>Internationalisation of higher education</w:t>
      </w:r>
      <w:bookmarkEnd w:id="29"/>
    </w:p>
    <w:p w14:paraId="0AC64209" w14:textId="77777777" w:rsidR="00B67126" w:rsidRDefault="00B67126" w:rsidP="00B67126">
      <w:pPr>
        <w:rPr>
          <w:lang w:val="en-GB" w:eastAsia="en-GB"/>
        </w:rPr>
      </w:pPr>
      <w:r>
        <w:rPr>
          <w:lang w:val="en-GB" w:eastAsia="en-GB"/>
        </w:rPr>
        <w:t>European Parliament, Committee on Culture and Education, July 2015</w:t>
      </w:r>
    </w:p>
    <w:p w14:paraId="72E012F5" w14:textId="77777777" w:rsidR="00B67126" w:rsidRDefault="00B67126" w:rsidP="00A767AE">
      <w:pPr>
        <w:jc w:val="both"/>
        <w:rPr>
          <w:lang w:val="en-GB" w:eastAsia="en-GB"/>
        </w:rPr>
      </w:pPr>
      <w:r>
        <w:rPr>
          <w:lang w:val="en-GB" w:eastAsia="en-GB"/>
        </w:rPr>
        <w:t>The study is based on two survey</w:t>
      </w:r>
      <w:r w:rsidR="00E3019A">
        <w:rPr>
          <w:lang w:val="en-GB" w:eastAsia="en-GB"/>
        </w:rPr>
        <w:t>s</w:t>
      </w:r>
      <w:r>
        <w:rPr>
          <w:lang w:val="en-GB" w:eastAsia="en-GB"/>
        </w:rPr>
        <w:t xml:space="preserve">, an analysis of the role of digital learning and ten national reports from Europe and seven from outside Europe. The study results in conclusions and recommendations on the future of internationalisation of Higher Education in Europe. </w:t>
      </w:r>
    </w:p>
    <w:p w14:paraId="194429FB" w14:textId="77777777" w:rsidR="00B67126" w:rsidRPr="00B67126" w:rsidRDefault="00B67126" w:rsidP="00A767AE">
      <w:pPr>
        <w:jc w:val="both"/>
        <w:rPr>
          <w:lang w:val="en-GB" w:eastAsia="en-GB"/>
        </w:rPr>
      </w:pPr>
      <w:r>
        <w:rPr>
          <w:lang w:val="en-GB" w:eastAsia="en-GB"/>
        </w:rPr>
        <w:t>R</w:t>
      </w:r>
      <w:r w:rsidRPr="00B67126">
        <w:rPr>
          <w:lang w:val="en-GB" w:eastAsia="en-GB"/>
        </w:rPr>
        <w:t>ecommendations on the internationalisat</w:t>
      </w:r>
      <w:r>
        <w:rPr>
          <w:lang w:val="en-GB" w:eastAsia="en-GB"/>
        </w:rPr>
        <w:t xml:space="preserve">ion of higher education (IoHE) for all </w:t>
      </w:r>
      <w:r w:rsidRPr="00B67126">
        <w:rPr>
          <w:lang w:val="en-GB" w:eastAsia="en-GB"/>
        </w:rPr>
        <w:t>policy levels:</w:t>
      </w:r>
    </w:p>
    <w:p w14:paraId="670B4817" w14:textId="77777777" w:rsidR="00B67126" w:rsidRPr="00B67126" w:rsidRDefault="00B67126" w:rsidP="00702EF8">
      <w:pPr>
        <w:pStyle w:val="Lijstalinea"/>
        <w:numPr>
          <w:ilvl w:val="0"/>
          <w:numId w:val="8"/>
        </w:numPr>
        <w:jc w:val="both"/>
        <w:rPr>
          <w:lang w:val="en-GB" w:eastAsia="en-GB"/>
        </w:rPr>
      </w:pPr>
      <w:r w:rsidRPr="00B67126">
        <w:rPr>
          <w:lang w:val="en-GB" w:eastAsia="en-GB"/>
        </w:rPr>
        <w:t>Address the challenges of credit and degree mobility imbalances and institutional</w:t>
      </w:r>
    </w:p>
    <w:p w14:paraId="36D98641" w14:textId="77777777" w:rsidR="00B67126" w:rsidRPr="00B67126" w:rsidRDefault="00B67126" w:rsidP="00A767AE">
      <w:pPr>
        <w:pStyle w:val="Lijstalinea"/>
        <w:jc w:val="both"/>
        <w:rPr>
          <w:lang w:val="en-GB" w:eastAsia="en-GB"/>
        </w:rPr>
      </w:pPr>
      <w:r w:rsidRPr="00B67126">
        <w:rPr>
          <w:lang w:val="en-GB" w:eastAsia="en-GB"/>
        </w:rPr>
        <w:t>cooperation, stemming from substantial differences in higher education systems,</w:t>
      </w:r>
    </w:p>
    <w:p w14:paraId="520034AB" w14:textId="3A796166" w:rsidR="00B67126" w:rsidRPr="00B67126" w:rsidRDefault="009D0BD2" w:rsidP="00A767AE">
      <w:pPr>
        <w:pStyle w:val="Lijstalinea"/>
        <w:jc w:val="both"/>
        <w:rPr>
          <w:lang w:val="en-GB" w:eastAsia="en-GB"/>
        </w:rPr>
      </w:pPr>
      <w:r>
        <w:rPr>
          <w:lang w:val="en-GB" w:eastAsia="en-GB"/>
        </w:rPr>
        <w:t>procedures and funding;</w:t>
      </w:r>
    </w:p>
    <w:p w14:paraId="6CF161C7" w14:textId="77777777" w:rsidR="00B67126" w:rsidRPr="00B67126" w:rsidRDefault="00B67126" w:rsidP="00702EF8">
      <w:pPr>
        <w:pStyle w:val="Lijstalinea"/>
        <w:numPr>
          <w:ilvl w:val="0"/>
          <w:numId w:val="8"/>
        </w:numPr>
        <w:jc w:val="both"/>
        <w:rPr>
          <w:lang w:val="en-GB" w:eastAsia="en-GB"/>
        </w:rPr>
      </w:pPr>
      <w:r w:rsidRPr="00B67126">
        <w:rPr>
          <w:lang w:val="en-GB" w:eastAsia="en-GB"/>
        </w:rPr>
        <w:t>Recognise the growing popularity of work placements and build options to combine</w:t>
      </w:r>
    </w:p>
    <w:p w14:paraId="03411173" w14:textId="57D71EC5" w:rsidR="00B67126" w:rsidRPr="00B67126" w:rsidRDefault="00B67126" w:rsidP="00A767AE">
      <w:pPr>
        <w:pStyle w:val="Lijstalinea"/>
        <w:jc w:val="both"/>
        <w:rPr>
          <w:lang w:val="en-GB" w:eastAsia="en-GB"/>
        </w:rPr>
      </w:pPr>
      <w:r w:rsidRPr="00B67126">
        <w:rPr>
          <w:lang w:val="en-GB" w:eastAsia="en-GB"/>
        </w:rPr>
        <w:t>them with language and cultural s</w:t>
      </w:r>
      <w:r w:rsidR="009D0BD2">
        <w:rPr>
          <w:lang w:val="en-GB" w:eastAsia="en-GB"/>
        </w:rPr>
        <w:t>kills training and study abroad;</w:t>
      </w:r>
    </w:p>
    <w:p w14:paraId="72470985" w14:textId="77777777" w:rsidR="00B67126" w:rsidRPr="00B67126" w:rsidRDefault="00B67126" w:rsidP="00702EF8">
      <w:pPr>
        <w:pStyle w:val="Lijstalinea"/>
        <w:numPr>
          <w:ilvl w:val="0"/>
          <w:numId w:val="8"/>
        </w:numPr>
        <w:jc w:val="both"/>
        <w:rPr>
          <w:lang w:val="en-GB" w:eastAsia="en-GB"/>
        </w:rPr>
      </w:pPr>
      <w:r w:rsidRPr="00B67126">
        <w:rPr>
          <w:lang w:val="en-GB" w:eastAsia="en-GB"/>
        </w:rPr>
        <w:t>Support the important role of academic and administrative staff in the further</w:t>
      </w:r>
    </w:p>
    <w:p w14:paraId="2A451B9F" w14:textId="5E7BE2C3" w:rsidR="00B67126" w:rsidRPr="00B67126" w:rsidRDefault="009D0BD2" w:rsidP="00A767AE">
      <w:pPr>
        <w:pStyle w:val="Lijstalinea"/>
        <w:jc w:val="both"/>
        <w:rPr>
          <w:lang w:val="en-GB" w:eastAsia="en-GB"/>
        </w:rPr>
      </w:pPr>
      <w:r>
        <w:rPr>
          <w:lang w:val="en-GB" w:eastAsia="en-GB"/>
        </w:rPr>
        <w:t>development of IoHE;</w:t>
      </w:r>
    </w:p>
    <w:p w14:paraId="38416752" w14:textId="77777777" w:rsidR="00B67126" w:rsidRPr="00B67126" w:rsidRDefault="00B67126" w:rsidP="00702EF8">
      <w:pPr>
        <w:pStyle w:val="Lijstalinea"/>
        <w:numPr>
          <w:ilvl w:val="0"/>
          <w:numId w:val="8"/>
        </w:numPr>
        <w:jc w:val="both"/>
        <w:rPr>
          <w:lang w:val="en-GB" w:eastAsia="en-GB"/>
        </w:rPr>
      </w:pPr>
      <w:r w:rsidRPr="00B67126">
        <w:rPr>
          <w:lang w:val="en-GB" w:eastAsia="en-GB"/>
        </w:rPr>
        <w:t>Foster greater higher education and industry collaboration in the context of mobility</w:t>
      </w:r>
    </w:p>
    <w:p w14:paraId="40259659" w14:textId="4E403BE1" w:rsidR="00B67126" w:rsidRPr="00B67126" w:rsidRDefault="009D0BD2" w:rsidP="00A767AE">
      <w:pPr>
        <w:pStyle w:val="Lijstalinea"/>
        <w:jc w:val="both"/>
        <w:rPr>
          <w:lang w:val="en-GB" w:eastAsia="en-GB"/>
        </w:rPr>
      </w:pPr>
      <w:r>
        <w:rPr>
          <w:lang w:val="en-GB" w:eastAsia="en-GB"/>
        </w:rPr>
        <w:t>of students and staff;</w:t>
      </w:r>
    </w:p>
    <w:p w14:paraId="7D059AD6" w14:textId="77777777" w:rsidR="00B67126" w:rsidRPr="00B67126" w:rsidRDefault="00B67126" w:rsidP="00702EF8">
      <w:pPr>
        <w:pStyle w:val="Lijstalinea"/>
        <w:numPr>
          <w:ilvl w:val="0"/>
          <w:numId w:val="8"/>
        </w:numPr>
        <w:jc w:val="both"/>
        <w:rPr>
          <w:lang w:val="en-GB" w:eastAsia="en-GB"/>
        </w:rPr>
      </w:pPr>
      <w:r w:rsidRPr="00B67126">
        <w:rPr>
          <w:lang w:val="en-GB" w:eastAsia="en-GB"/>
        </w:rPr>
        <w:t>Pay more attention to the importance of ‘Internationalisation at home’, integrating</w:t>
      </w:r>
    </w:p>
    <w:p w14:paraId="5B120105" w14:textId="3DA38302" w:rsidR="00B67126" w:rsidRPr="00B67126" w:rsidRDefault="00B67126" w:rsidP="00A767AE">
      <w:pPr>
        <w:pStyle w:val="Lijstalinea"/>
        <w:jc w:val="both"/>
        <w:rPr>
          <w:lang w:val="en-GB" w:eastAsia="en-GB"/>
        </w:rPr>
      </w:pPr>
      <w:r w:rsidRPr="00B67126">
        <w:rPr>
          <w:lang w:val="en-GB" w:eastAsia="en-GB"/>
        </w:rPr>
        <w:t xml:space="preserve">international and intercultural learning outcomes into </w:t>
      </w:r>
      <w:r w:rsidR="009D0BD2">
        <w:rPr>
          <w:lang w:val="en-GB" w:eastAsia="en-GB"/>
        </w:rPr>
        <w:t>the curriculum for all students;</w:t>
      </w:r>
    </w:p>
    <w:p w14:paraId="5CBE11A1" w14:textId="6DDCAAA0" w:rsidR="00B67126" w:rsidRPr="00B67126" w:rsidRDefault="00B67126" w:rsidP="00702EF8">
      <w:pPr>
        <w:pStyle w:val="Lijstalinea"/>
        <w:numPr>
          <w:ilvl w:val="0"/>
          <w:numId w:val="8"/>
        </w:numPr>
        <w:jc w:val="both"/>
        <w:rPr>
          <w:lang w:val="en-GB" w:eastAsia="en-GB"/>
        </w:rPr>
      </w:pPr>
      <w:r w:rsidRPr="00B67126">
        <w:rPr>
          <w:lang w:val="en-GB" w:eastAsia="en-GB"/>
        </w:rPr>
        <w:t>Remove the barriers that impede t</w:t>
      </w:r>
      <w:r w:rsidR="009D0BD2">
        <w:rPr>
          <w:lang w:val="en-GB" w:eastAsia="en-GB"/>
        </w:rPr>
        <w:t>he development of joint degrees;</w:t>
      </w:r>
    </w:p>
    <w:p w14:paraId="02B72E26" w14:textId="77777777" w:rsidR="00B67126" w:rsidRPr="00B67126" w:rsidRDefault="00B67126" w:rsidP="00702EF8">
      <w:pPr>
        <w:pStyle w:val="Lijstalinea"/>
        <w:numPr>
          <w:ilvl w:val="0"/>
          <w:numId w:val="8"/>
        </w:numPr>
        <w:jc w:val="both"/>
        <w:rPr>
          <w:lang w:val="en-GB" w:eastAsia="en-GB"/>
        </w:rPr>
      </w:pPr>
      <w:r w:rsidRPr="00B67126">
        <w:rPr>
          <w:lang w:val="en-GB" w:eastAsia="en-GB"/>
        </w:rPr>
        <w:t>Develop innovative models of digital and blended learning as an instrument to</w:t>
      </w:r>
    </w:p>
    <w:p w14:paraId="4872276B" w14:textId="09C7798E" w:rsidR="00B67126" w:rsidRPr="00B67126" w:rsidRDefault="009D0BD2" w:rsidP="00A767AE">
      <w:pPr>
        <w:pStyle w:val="Lijstalinea"/>
        <w:jc w:val="both"/>
        <w:rPr>
          <w:lang w:val="en-GB" w:eastAsia="en-GB"/>
        </w:rPr>
      </w:pPr>
      <w:r>
        <w:rPr>
          <w:lang w:val="en-GB" w:eastAsia="en-GB"/>
        </w:rPr>
        <w:t>complement IoHE;</w:t>
      </w:r>
    </w:p>
    <w:p w14:paraId="5E5F15E1" w14:textId="77777777" w:rsidR="00B67126" w:rsidRPr="00B67126" w:rsidRDefault="00B67126" w:rsidP="00702EF8">
      <w:pPr>
        <w:pStyle w:val="Lijstalinea"/>
        <w:numPr>
          <w:ilvl w:val="0"/>
          <w:numId w:val="8"/>
        </w:numPr>
        <w:jc w:val="both"/>
        <w:rPr>
          <w:lang w:val="en-GB" w:eastAsia="en-GB"/>
        </w:rPr>
      </w:pPr>
      <w:r w:rsidRPr="00B67126">
        <w:rPr>
          <w:lang w:val="en-GB" w:eastAsia="en-GB"/>
        </w:rPr>
        <w:t>Align IoHE with internationalisation at other levels of education (primary, secondary,</w:t>
      </w:r>
    </w:p>
    <w:p w14:paraId="00D739B3" w14:textId="07DAED1D" w:rsidR="00B67126" w:rsidRPr="00B67126" w:rsidRDefault="009D0BD2" w:rsidP="00A767AE">
      <w:pPr>
        <w:pStyle w:val="Lijstalinea"/>
        <w:jc w:val="both"/>
        <w:rPr>
          <w:lang w:val="en-GB" w:eastAsia="en-GB"/>
        </w:rPr>
      </w:pPr>
      <w:r>
        <w:rPr>
          <w:lang w:val="en-GB" w:eastAsia="en-GB"/>
        </w:rPr>
        <w:t>vocational and adult education);</w:t>
      </w:r>
    </w:p>
    <w:p w14:paraId="5BCD3D26" w14:textId="77777777" w:rsidR="00B67126" w:rsidRPr="00B67126" w:rsidRDefault="00B67126" w:rsidP="00702EF8">
      <w:pPr>
        <w:pStyle w:val="Lijstalinea"/>
        <w:numPr>
          <w:ilvl w:val="0"/>
          <w:numId w:val="8"/>
        </w:numPr>
        <w:jc w:val="both"/>
        <w:rPr>
          <w:lang w:val="en-GB" w:eastAsia="en-GB"/>
        </w:rPr>
      </w:pPr>
      <w:r w:rsidRPr="00B67126">
        <w:rPr>
          <w:lang w:val="en-GB" w:eastAsia="en-GB"/>
        </w:rPr>
        <w:t>Stimulate bilingual and multilingual learning at the primary and secondary education</w:t>
      </w:r>
    </w:p>
    <w:p w14:paraId="6BAFD2B0" w14:textId="643345B0" w:rsidR="00B67126" w:rsidRPr="00B67126" w:rsidRDefault="00B67126" w:rsidP="00A767AE">
      <w:pPr>
        <w:pStyle w:val="Lijstalinea"/>
        <w:jc w:val="both"/>
        <w:rPr>
          <w:lang w:val="en-GB" w:eastAsia="en-GB"/>
        </w:rPr>
      </w:pPr>
      <w:r w:rsidRPr="00B67126">
        <w:rPr>
          <w:lang w:val="en-GB" w:eastAsia="en-GB"/>
        </w:rPr>
        <w:t>level as a basis for a lan</w:t>
      </w:r>
      <w:r w:rsidR="009D0BD2">
        <w:rPr>
          <w:lang w:val="en-GB" w:eastAsia="en-GB"/>
        </w:rPr>
        <w:t>guage policy based on diversity;</w:t>
      </w:r>
    </w:p>
    <w:p w14:paraId="5332A737" w14:textId="77777777" w:rsidR="00B67126" w:rsidRPr="00B67126" w:rsidRDefault="00B67126" w:rsidP="00702EF8">
      <w:pPr>
        <w:pStyle w:val="Lijstalinea"/>
        <w:numPr>
          <w:ilvl w:val="0"/>
          <w:numId w:val="8"/>
        </w:numPr>
        <w:jc w:val="both"/>
        <w:rPr>
          <w:lang w:val="en-GB" w:eastAsia="en-GB"/>
        </w:rPr>
      </w:pPr>
      <w:r w:rsidRPr="00B67126">
        <w:rPr>
          <w:lang w:val="en-GB" w:eastAsia="en-GB"/>
        </w:rPr>
        <w:t>Remove barriers between internationalisation of research and education, at all</w:t>
      </w:r>
    </w:p>
    <w:p w14:paraId="5945DDCB" w14:textId="6F8A69A7" w:rsidR="00B67126" w:rsidRDefault="00B67126" w:rsidP="009A133F">
      <w:pPr>
        <w:pStyle w:val="Lijstalinea"/>
        <w:rPr>
          <w:lang w:val="en-GB" w:eastAsia="en-GB"/>
        </w:rPr>
      </w:pPr>
      <w:r w:rsidRPr="00B67126">
        <w:rPr>
          <w:lang w:val="en-GB" w:eastAsia="en-GB"/>
        </w:rPr>
        <w:t xml:space="preserve">levels, for </w:t>
      </w:r>
      <w:r w:rsidR="009D0BD2">
        <w:rPr>
          <w:lang w:val="en-GB" w:eastAsia="en-GB"/>
        </w:rPr>
        <w:t>greater synergy and opportunity;</w:t>
      </w:r>
    </w:p>
    <w:p w14:paraId="685A9567" w14:textId="77777777" w:rsidR="009A133F" w:rsidRPr="009A133F" w:rsidRDefault="0069572D" w:rsidP="009A133F">
      <w:pPr>
        <w:rPr>
          <w:lang w:val="en-GB" w:eastAsia="en-GB"/>
        </w:rPr>
      </w:pPr>
      <w:hyperlink r:id="rId44" w:history="1">
        <w:r w:rsidR="009A133F" w:rsidRPr="009A133F">
          <w:rPr>
            <w:rStyle w:val="Hyperlink"/>
            <w:lang w:val="en-GB" w:eastAsia="en-GB"/>
          </w:rPr>
          <w:t>The study</w:t>
        </w:r>
      </w:hyperlink>
      <w:r w:rsidR="009A133F">
        <w:rPr>
          <w:lang w:val="en-GB" w:eastAsia="en-GB"/>
        </w:rPr>
        <w:t xml:space="preserve"> </w:t>
      </w:r>
    </w:p>
    <w:p w14:paraId="76227664" w14:textId="77777777" w:rsidR="00AD4976" w:rsidRPr="009D0BD2" w:rsidRDefault="00AD4976" w:rsidP="009D0BD2">
      <w:pPr>
        <w:pStyle w:val="Kop2"/>
      </w:pPr>
      <w:bookmarkStart w:id="30" w:name="_Toc444869851"/>
      <w:r w:rsidRPr="009D0BD2">
        <w:t>Languages in secondary education</w:t>
      </w:r>
      <w:bookmarkEnd w:id="30"/>
    </w:p>
    <w:p w14:paraId="2324E2B3" w14:textId="77777777" w:rsidR="00AD4976" w:rsidRPr="003072A4" w:rsidRDefault="00AD4976" w:rsidP="00AD4976">
      <w:r w:rsidRPr="003072A4">
        <w:t xml:space="preserve">Eurydice, </w:t>
      </w:r>
      <w:r w:rsidR="003072A4">
        <w:t>25 September</w:t>
      </w:r>
      <w:r w:rsidRPr="003072A4">
        <w:t xml:space="preserve"> 2015</w:t>
      </w:r>
    </w:p>
    <w:p w14:paraId="5919B6FB" w14:textId="77777777" w:rsidR="00AD4976" w:rsidRDefault="00AD4976" w:rsidP="003072A4">
      <w:pPr>
        <w:jc w:val="both"/>
        <w:rPr>
          <w:lang w:val="en-GB"/>
        </w:rPr>
      </w:pPr>
      <w:r w:rsidRPr="003072A4">
        <w:rPr>
          <w:lang w:val="en-GB"/>
        </w:rPr>
        <w:t>The main objective of this report is provide a clear understanding of the current national testing regimes for languages in European countries.</w:t>
      </w:r>
    </w:p>
    <w:p w14:paraId="4A8D9FBD" w14:textId="77777777" w:rsidR="003072A4" w:rsidRPr="003072A4" w:rsidRDefault="003072A4" w:rsidP="003072A4">
      <w:pPr>
        <w:jc w:val="both"/>
        <w:rPr>
          <w:lang w:val="en-GB"/>
        </w:rPr>
      </w:pPr>
      <w:r w:rsidRPr="003072A4">
        <w:rPr>
          <w:lang w:val="en-GB"/>
        </w:rPr>
        <w:t xml:space="preserve">The linguistic and cultural diversity in Europe calls for the promotion of language learning at school At European level, the learning of foreign languages at school is recognised as crucially important and is strongly encouraged. The results of the first European Commission survey on language competences published in 2012 showed great variety in language proficiency across Europe, and pinpointed the need to sustain efforts in promoting and improving the teaching and learning of languages at school. It is therefore essential that national authorities in Europe continue their efforts to improve the teaching and learning of languages. Moreover, as stressed by the Council of the European Union in the Conclusions on multilingualism and the development of language competences in 2014, the assessment of language competences is a key factor in the effective teaching and learning of languages at school. In this context, the European Commission asked Eurydice to provide a Europe-wide comparative overview of the national tests for assessing the language competences of secondary school students. </w:t>
      </w:r>
      <w:r>
        <w:rPr>
          <w:lang w:val="en-GB"/>
        </w:rPr>
        <w:t xml:space="preserve">The current </w:t>
      </w:r>
      <w:r w:rsidRPr="003072A4">
        <w:rPr>
          <w:lang w:val="en-GB"/>
        </w:rPr>
        <w:t>report covers the 28 EU Member States as well as Iceland, Liechtenstein, Norway, Turkey, Montenegro and Serbia.</w:t>
      </w:r>
      <w:r>
        <w:rPr>
          <w:lang w:val="en-GB"/>
        </w:rPr>
        <w:t xml:space="preserve"> The reference year is 2014/15.</w:t>
      </w:r>
    </w:p>
    <w:p w14:paraId="3635E65C" w14:textId="77777777" w:rsidR="003072A4" w:rsidRPr="00AD4976" w:rsidRDefault="0069572D" w:rsidP="00AD4976">
      <w:pPr>
        <w:rPr>
          <w:lang w:val="en-GB"/>
        </w:rPr>
      </w:pPr>
      <w:hyperlink r:id="rId45" w:history="1">
        <w:r w:rsidR="003072A4" w:rsidRPr="003072A4">
          <w:rPr>
            <w:rStyle w:val="Hyperlink"/>
            <w:lang w:val="en-GB"/>
          </w:rPr>
          <w:t>The report</w:t>
        </w:r>
      </w:hyperlink>
    </w:p>
    <w:p w14:paraId="4CD322F3" w14:textId="77777777" w:rsidR="003072A4" w:rsidRPr="009D0BD2" w:rsidRDefault="003072A4" w:rsidP="009D0BD2">
      <w:pPr>
        <w:pStyle w:val="Kop2"/>
      </w:pPr>
      <w:bookmarkStart w:id="31" w:name="_Toc444869852"/>
      <w:r w:rsidRPr="009D0BD2">
        <w:t>Teachers' and School Heads' Salaries and Allowances in Europe – 2014/15</w:t>
      </w:r>
      <w:bookmarkEnd w:id="31"/>
    </w:p>
    <w:p w14:paraId="5AF0A1B6" w14:textId="77777777" w:rsidR="00A57789" w:rsidRDefault="00B67126" w:rsidP="00A973A6">
      <w:pPr>
        <w:jc w:val="both"/>
        <w:rPr>
          <w:lang w:val="en-GB"/>
        </w:rPr>
      </w:pPr>
      <w:r>
        <w:rPr>
          <w:lang w:val="en-GB"/>
        </w:rPr>
        <w:t xml:space="preserve">Eurydice, </w:t>
      </w:r>
      <w:r w:rsidR="003072A4">
        <w:rPr>
          <w:lang w:val="en-GB"/>
        </w:rPr>
        <w:t>5 October 2015</w:t>
      </w:r>
    </w:p>
    <w:p w14:paraId="5C78B05C" w14:textId="77777777" w:rsidR="003072A4" w:rsidRPr="003072A4" w:rsidRDefault="003072A4" w:rsidP="003072A4">
      <w:pPr>
        <w:jc w:val="both"/>
        <w:rPr>
          <w:lang w:val="en-GB"/>
        </w:rPr>
      </w:pPr>
      <w:r w:rsidRPr="003072A4">
        <w:rPr>
          <w:lang w:val="en-GB"/>
        </w:rPr>
        <w:t xml:space="preserve">This annual report provides a comparative analysis on teachers' and school heads' statutory salaries and allowances in Europe for 2014/15. It also includes individual country sheets with detailed information on issues such as annual gross salaries, salary progression and available allowances. </w:t>
      </w:r>
    </w:p>
    <w:p w14:paraId="1D12B32F" w14:textId="77777777" w:rsidR="003072A4" w:rsidRDefault="003072A4" w:rsidP="003072A4">
      <w:pPr>
        <w:jc w:val="both"/>
        <w:rPr>
          <w:lang w:val="en-GB"/>
        </w:rPr>
      </w:pPr>
      <w:r w:rsidRPr="003072A4">
        <w:rPr>
          <w:lang w:val="en-GB"/>
        </w:rPr>
        <w:t>One of the main findi</w:t>
      </w:r>
      <w:r>
        <w:rPr>
          <w:lang w:val="en-GB"/>
        </w:rPr>
        <w:t xml:space="preserve">ngs of this publication is that, following several years of stagnation due to the economic crisis – or even significant decreases in some countries – </w:t>
      </w:r>
      <w:r w:rsidRPr="003072A4">
        <w:rPr>
          <w:lang w:val="en-GB"/>
        </w:rPr>
        <w:t>teachers' salaries have</w:t>
      </w:r>
      <w:r>
        <w:rPr>
          <w:lang w:val="en-GB"/>
        </w:rPr>
        <w:t xml:space="preserve"> started to increase again </w:t>
      </w:r>
      <w:r w:rsidRPr="003072A4">
        <w:rPr>
          <w:lang w:val="en-GB"/>
        </w:rPr>
        <w:t>in the majority of European countries in 2014/15</w:t>
      </w:r>
      <w:r>
        <w:rPr>
          <w:lang w:val="en-GB"/>
        </w:rPr>
        <w:t>.</w:t>
      </w:r>
    </w:p>
    <w:p w14:paraId="7170CBEB" w14:textId="77777777" w:rsidR="003072A4" w:rsidRDefault="0069572D" w:rsidP="003072A4">
      <w:pPr>
        <w:jc w:val="both"/>
        <w:rPr>
          <w:lang w:val="en-GB"/>
        </w:rPr>
      </w:pPr>
      <w:hyperlink r:id="rId46" w:history="1">
        <w:r w:rsidR="003072A4" w:rsidRPr="003072A4">
          <w:rPr>
            <w:rStyle w:val="Hyperlink"/>
            <w:lang w:val="en-GB"/>
          </w:rPr>
          <w:t>The report</w:t>
        </w:r>
      </w:hyperlink>
    </w:p>
    <w:p w14:paraId="0F4BD8E8" w14:textId="77777777" w:rsidR="00B67126" w:rsidRPr="009D0BD2" w:rsidRDefault="00B67126" w:rsidP="009D0BD2">
      <w:pPr>
        <w:pStyle w:val="Kop2"/>
      </w:pPr>
      <w:bookmarkStart w:id="32" w:name="_Toc444869853"/>
      <w:r w:rsidRPr="009D0BD2">
        <w:t>National student fee and support systems in European higher education  2015/16</w:t>
      </w:r>
      <w:bookmarkEnd w:id="32"/>
    </w:p>
    <w:p w14:paraId="6BCCEA5C" w14:textId="77777777" w:rsidR="00B67126" w:rsidRPr="00B67126" w:rsidRDefault="00B67126" w:rsidP="00B67126">
      <w:pPr>
        <w:rPr>
          <w:lang w:val="en-GB" w:eastAsia="en-GB"/>
        </w:rPr>
      </w:pPr>
      <w:r>
        <w:rPr>
          <w:lang w:val="en-GB" w:eastAsia="en-GB"/>
        </w:rPr>
        <w:t>Eurydice, 21 October 2015</w:t>
      </w:r>
    </w:p>
    <w:p w14:paraId="2F47C076" w14:textId="77777777" w:rsidR="00B67126" w:rsidRPr="00B67126" w:rsidRDefault="00B67126" w:rsidP="00B67126">
      <w:pPr>
        <w:jc w:val="both"/>
        <w:rPr>
          <w:lang w:val="en-GB"/>
        </w:rPr>
      </w:pPr>
      <w:r w:rsidRPr="00B67126">
        <w:rPr>
          <w:lang w:val="en-GB"/>
        </w:rPr>
        <w:t xml:space="preserve">This annual report shows how fee and support systems (including grants and loans) work in higher education in Europe. In particular, the publication describes the range of fees charged to students and specifies which categories of students are required to pay, and which may be exempt. Similarly it explains the levels of public support available in the form of grants and loans, as well as tax benefits and family allowances where applicable. </w:t>
      </w:r>
    </w:p>
    <w:p w14:paraId="6EAF3E37" w14:textId="77777777" w:rsidR="00B67126" w:rsidRPr="00B67126" w:rsidRDefault="00B67126" w:rsidP="00B67126">
      <w:pPr>
        <w:jc w:val="both"/>
        <w:rPr>
          <w:lang w:val="en-GB"/>
        </w:rPr>
      </w:pPr>
      <w:r w:rsidRPr="00B67126">
        <w:rPr>
          <w:lang w:val="en-GB"/>
        </w:rPr>
        <w:t xml:space="preserve">The report focuses on fees and support in public or government-dependent private higher education institutions for the first (Bachelor level) and second (Master level) cycles and does not cover private higher education institutions. </w:t>
      </w:r>
    </w:p>
    <w:p w14:paraId="53F2AB88" w14:textId="77777777" w:rsidR="00B67126" w:rsidRDefault="0069572D" w:rsidP="00B67126">
      <w:pPr>
        <w:jc w:val="both"/>
        <w:rPr>
          <w:rStyle w:val="Hyperlink"/>
          <w:lang w:val="en-GB"/>
        </w:rPr>
      </w:pPr>
      <w:hyperlink r:id="rId47" w:history="1">
        <w:r w:rsidR="00B67126" w:rsidRPr="00B67126">
          <w:rPr>
            <w:rStyle w:val="Hyperlink"/>
            <w:lang w:val="en-GB"/>
          </w:rPr>
          <w:t>The report</w:t>
        </w:r>
      </w:hyperlink>
    </w:p>
    <w:p w14:paraId="1FAB5B72" w14:textId="77777777" w:rsidR="00DF2FB8" w:rsidRPr="009D0BD2" w:rsidRDefault="00DF2FB8" w:rsidP="009D0BD2">
      <w:pPr>
        <w:pStyle w:val="Kop2"/>
      </w:pPr>
      <w:bookmarkStart w:id="33" w:name="_Toc444869854"/>
      <w:r w:rsidRPr="009D0BD2">
        <w:t>The Structure of the European Education Systems 2015-2016: Schematic Diagrams</w:t>
      </w:r>
      <w:bookmarkEnd w:id="33"/>
      <w:r w:rsidRPr="009D0BD2">
        <w:t xml:space="preserve"> </w:t>
      </w:r>
    </w:p>
    <w:p w14:paraId="0BDFF27E" w14:textId="77777777" w:rsidR="00DF2FB8" w:rsidRPr="00502043" w:rsidRDefault="00DF2FB8" w:rsidP="00DF2FB8">
      <w:pPr>
        <w:jc w:val="both"/>
        <w:rPr>
          <w:lang w:val="en-GB"/>
        </w:rPr>
      </w:pPr>
      <w:r w:rsidRPr="00502043">
        <w:rPr>
          <w:lang w:val="en-GB"/>
        </w:rPr>
        <w:t xml:space="preserve">Eurydice, </w:t>
      </w:r>
      <w:r>
        <w:rPr>
          <w:lang w:val="en-GB"/>
        </w:rPr>
        <w:t xml:space="preserve">Facts and Figures, </w:t>
      </w:r>
      <w:r w:rsidRPr="00502043">
        <w:rPr>
          <w:lang w:val="en-GB"/>
        </w:rPr>
        <w:t>23 November 2015</w:t>
      </w:r>
    </w:p>
    <w:p w14:paraId="29668997" w14:textId="77777777" w:rsidR="00DF2FB8" w:rsidRDefault="00DF2FB8" w:rsidP="00DF2FB8">
      <w:pPr>
        <w:jc w:val="both"/>
        <w:rPr>
          <w:lang w:val="en-GB"/>
        </w:rPr>
      </w:pPr>
      <w:r>
        <w:rPr>
          <w:lang w:val="en-GB"/>
        </w:rPr>
        <w:t>This report provides an overvie</w:t>
      </w:r>
      <w:r w:rsidRPr="00502043">
        <w:rPr>
          <w:lang w:val="en-GB"/>
        </w:rPr>
        <w:t>w of the structure of education systems in</w:t>
      </w:r>
      <w:r>
        <w:rPr>
          <w:lang w:val="en-GB"/>
        </w:rPr>
        <w:t xml:space="preserve"> Europe from pre-primary to ter</w:t>
      </w:r>
      <w:r w:rsidRPr="00502043">
        <w:rPr>
          <w:lang w:val="en-GB"/>
        </w:rPr>
        <w:t>tiary level for 2015/2016; 42 education systems are represented. Diagrams show how the national education system is organised.</w:t>
      </w:r>
    </w:p>
    <w:p w14:paraId="5DB93A13" w14:textId="77777777" w:rsidR="00DF2FB8" w:rsidRDefault="0069572D" w:rsidP="00B67126">
      <w:pPr>
        <w:jc w:val="both"/>
        <w:rPr>
          <w:rStyle w:val="Hyperlink"/>
          <w:lang w:val="en-GB"/>
        </w:rPr>
      </w:pPr>
      <w:hyperlink r:id="rId48" w:history="1">
        <w:r w:rsidR="00DF2FB8" w:rsidRPr="00A57789">
          <w:rPr>
            <w:rStyle w:val="Hyperlink"/>
            <w:lang w:val="en-GB"/>
          </w:rPr>
          <w:t>The diagrams</w:t>
        </w:r>
      </w:hyperlink>
    </w:p>
    <w:p w14:paraId="25F5CB0A" w14:textId="77777777" w:rsidR="00A767AE" w:rsidRPr="009D0BD2" w:rsidRDefault="00A767AE" w:rsidP="009D0BD2">
      <w:pPr>
        <w:pStyle w:val="Kop2"/>
      </w:pPr>
      <w:bookmarkStart w:id="34" w:name="_Toc444869855"/>
      <w:r w:rsidRPr="009D0BD2">
        <w:t>National sheets on education budgets in Europe 2015</w:t>
      </w:r>
      <w:bookmarkEnd w:id="34"/>
    </w:p>
    <w:p w14:paraId="617AF3D5" w14:textId="77777777" w:rsidR="00A767AE" w:rsidRPr="00A767AE" w:rsidRDefault="00A767AE" w:rsidP="00A767AE">
      <w:pPr>
        <w:rPr>
          <w:lang w:val="en-GB" w:eastAsia="en-GB"/>
        </w:rPr>
      </w:pPr>
      <w:r w:rsidRPr="00A767AE">
        <w:rPr>
          <w:lang w:val="en-GB" w:eastAsia="en-GB"/>
        </w:rPr>
        <w:t>Eurydice, 7 January 2016-01-11</w:t>
      </w:r>
    </w:p>
    <w:p w14:paraId="44E90ADF" w14:textId="77777777" w:rsidR="00A767AE" w:rsidRDefault="00A767AE" w:rsidP="00A767AE">
      <w:pPr>
        <w:jc w:val="both"/>
        <w:rPr>
          <w:lang w:val="en-GB" w:eastAsia="en-GB"/>
        </w:rPr>
      </w:pPr>
      <w:r w:rsidRPr="00A767AE">
        <w:rPr>
          <w:lang w:val="en-GB" w:eastAsia="en-GB"/>
        </w:rPr>
        <w:t xml:space="preserve">The report provides the most recent data on planned education budgets by country and makes it possible to identify changes in education budgets within a country between 2014 and 2015. National education budgets are presented by type of expenditure and education level. </w:t>
      </w:r>
    </w:p>
    <w:p w14:paraId="3B7EB13A" w14:textId="5B7CC890" w:rsidR="009D0BD2" w:rsidRPr="009D0BD2" w:rsidRDefault="0069572D" w:rsidP="009D0BD2">
      <w:pPr>
        <w:jc w:val="both"/>
        <w:rPr>
          <w:rStyle w:val="Hyperlink"/>
          <w:color w:val="auto"/>
          <w:u w:val="none"/>
          <w:lang w:val="en-GB" w:eastAsia="en-GB"/>
        </w:rPr>
      </w:pPr>
      <w:hyperlink r:id="rId49" w:history="1">
        <w:r w:rsidR="009D0BD2" w:rsidRPr="009D0BD2">
          <w:rPr>
            <w:rStyle w:val="Hyperlink"/>
            <w:lang w:val="en-GB" w:eastAsia="en-GB"/>
          </w:rPr>
          <w:t>The report</w:t>
        </w:r>
      </w:hyperlink>
    </w:p>
    <w:p w14:paraId="4F6538CE" w14:textId="1F2E2472" w:rsidR="0058272D" w:rsidRPr="009D0BD2" w:rsidRDefault="007037E9" w:rsidP="009D0BD2">
      <w:pPr>
        <w:pStyle w:val="Kop2"/>
      </w:pPr>
      <w:bookmarkStart w:id="35" w:name="_Toc444869856"/>
      <w:r w:rsidRPr="009D0BD2">
        <w:t>European guidelines for validating non-formal and informal learning</w:t>
      </w:r>
      <w:bookmarkEnd w:id="35"/>
    </w:p>
    <w:p w14:paraId="4838E847" w14:textId="739FF1FC" w:rsidR="0058272D" w:rsidRPr="0058272D" w:rsidRDefault="0058272D" w:rsidP="00B87F95">
      <w:pPr>
        <w:jc w:val="both"/>
        <w:rPr>
          <w:lang w:val="en-GB" w:eastAsia="en-GB"/>
        </w:rPr>
      </w:pPr>
      <w:r>
        <w:rPr>
          <w:lang w:val="en-GB" w:eastAsia="en-GB"/>
        </w:rPr>
        <w:t>Cedefop, 11 February 2016</w:t>
      </w:r>
    </w:p>
    <w:p w14:paraId="42A229FA" w14:textId="45DE736D" w:rsidR="007037E9" w:rsidRPr="007037E9" w:rsidRDefault="0058272D" w:rsidP="00B87F95">
      <w:pPr>
        <w:jc w:val="both"/>
        <w:rPr>
          <w:lang w:val="en-GB" w:eastAsia="en-GB"/>
        </w:rPr>
      </w:pPr>
      <w:r>
        <w:rPr>
          <w:lang w:val="en-GB" w:eastAsia="en-GB"/>
        </w:rPr>
        <w:t xml:space="preserve">The second edition of the guidelines is now available. </w:t>
      </w:r>
      <w:r w:rsidRPr="007037E9">
        <w:rPr>
          <w:lang w:val="en-GB" w:eastAsia="en-GB"/>
        </w:rPr>
        <w:t>The guidelines are targeted at individuals and institutions responsible for initiating, developing, setting up and operating validation arrangements. These arrangements will enable individuals to increase visibility and value of their knowledge, skills and competences acquired outside formal education and training: at work, at home or in voluntary activities</w:t>
      </w:r>
      <w:r>
        <w:rPr>
          <w:lang w:val="en-GB" w:eastAsia="en-GB"/>
        </w:rPr>
        <w:t>.</w:t>
      </w:r>
    </w:p>
    <w:p w14:paraId="6657365E" w14:textId="47C8EB45" w:rsidR="007037E9" w:rsidRPr="007037E9" w:rsidRDefault="007037E9" w:rsidP="00B87F95">
      <w:pPr>
        <w:jc w:val="both"/>
        <w:rPr>
          <w:lang w:val="en-GB" w:eastAsia="en-GB"/>
        </w:rPr>
      </w:pPr>
      <w:r w:rsidRPr="007037E9">
        <w:rPr>
          <w:lang w:val="en-GB" w:eastAsia="en-GB"/>
        </w:rPr>
        <w:t>This publication is the result of a cooperation between the European</w:t>
      </w:r>
      <w:r w:rsidR="0058272D">
        <w:rPr>
          <w:lang w:val="en-GB" w:eastAsia="en-GB"/>
        </w:rPr>
        <w:t xml:space="preserve"> Commission and Cedefop in </w:t>
      </w:r>
      <w:r w:rsidRPr="007037E9">
        <w:rPr>
          <w:lang w:val="en-GB" w:eastAsia="en-GB"/>
        </w:rPr>
        <w:t xml:space="preserve">consultation with the Member States. The guidelines complement the European inventory on validation of non-formal and informal learning compiled by Cedefop and the European Commission with Member States. </w:t>
      </w:r>
    </w:p>
    <w:p w14:paraId="7DD4BF3F" w14:textId="5A25D80C" w:rsidR="007037E9" w:rsidRDefault="0069572D" w:rsidP="00A767AE">
      <w:pPr>
        <w:rPr>
          <w:rStyle w:val="Hyperlink"/>
          <w:lang w:val="en-GB" w:eastAsia="en-GB"/>
        </w:rPr>
      </w:pPr>
      <w:hyperlink r:id="rId50" w:history="1">
        <w:r w:rsidR="0058272D" w:rsidRPr="0058272D">
          <w:rPr>
            <w:rStyle w:val="Hyperlink"/>
            <w:lang w:val="en-GB" w:eastAsia="en-GB"/>
          </w:rPr>
          <w:t>The guidelines</w:t>
        </w:r>
      </w:hyperlink>
    </w:p>
    <w:p w14:paraId="52941D75" w14:textId="440D3524" w:rsidR="0059064C" w:rsidRPr="009D0BD2" w:rsidRDefault="0059064C" w:rsidP="009D0BD2">
      <w:pPr>
        <w:pStyle w:val="Kop2"/>
      </w:pPr>
      <w:bookmarkStart w:id="36" w:name="_Toc444869857"/>
      <w:r w:rsidRPr="009D0BD2">
        <w:t>Entrepreneurship education at school in Europe</w:t>
      </w:r>
      <w:bookmarkEnd w:id="36"/>
    </w:p>
    <w:p w14:paraId="66436F2E" w14:textId="5FE5E7A5" w:rsidR="0059064C" w:rsidRDefault="0059064C" w:rsidP="0059064C">
      <w:pPr>
        <w:rPr>
          <w:lang w:val="en-GB" w:eastAsia="en-GB"/>
        </w:rPr>
      </w:pPr>
      <w:r>
        <w:rPr>
          <w:lang w:val="en-GB" w:eastAsia="en-GB"/>
        </w:rPr>
        <w:t>Eurydice, 22 February 2016</w:t>
      </w:r>
    </w:p>
    <w:p w14:paraId="225E9E82" w14:textId="77777777" w:rsidR="00B87F95" w:rsidRDefault="0059064C" w:rsidP="00B87F95">
      <w:pPr>
        <w:jc w:val="both"/>
        <w:rPr>
          <w:lang w:val="en-GB" w:eastAsia="en-GB"/>
        </w:rPr>
      </w:pPr>
      <w:r>
        <w:rPr>
          <w:lang w:val="en-GB" w:eastAsia="en-GB"/>
        </w:rPr>
        <w:t xml:space="preserve">This report is a new analysis, after the 2012 Eurydice report on entrepreneurship education. It provides updated and more detailed information on strategies, curricula and learning outcomes; it covers new themes such as funding and teacher education. </w:t>
      </w:r>
    </w:p>
    <w:p w14:paraId="49BC8277" w14:textId="3E939C23" w:rsidR="0059064C" w:rsidRDefault="00B87F95" w:rsidP="00B87F95">
      <w:pPr>
        <w:jc w:val="both"/>
        <w:rPr>
          <w:lang w:val="en-GB" w:eastAsia="en-GB"/>
        </w:rPr>
      </w:pPr>
      <w:r w:rsidRPr="00B87F95">
        <w:rPr>
          <w:lang w:val="en-GB" w:eastAsia="en-GB"/>
        </w:rPr>
        <w:t>In the context of the report, entrepreneurship education is defined as being about learners developing the skills and mind</w:t>
      </w:r>
      <w:r w:rsidR="009D0BD2">
        <w:rPr>
          <w:lang w:val="en-GB" w:eastAsia="en-GB"/>
        </w:rPr>
        <w:t>-</w:t>
      </w:r>
      <w:r w:rsidRPr="00B87F95">
        <w:rPr>
          <w:lang w:val="en-GB" w:eastAsia="en-GB"/>
        </w:rPr>
        <w:t>set to be able to turn creative ideas into entrepreneurial action. This is a key competence for all learners, supporting personal development, active citizenship, social inclusion and employability</w:t>
      </w:r>
    </w:p>
    <w:p w14:paraId="54F6BC28" w14:textId="2F1BD29D" w:rsidR="00B87F95" w:rsidRDefault="00B87F95" w:rsidP="00B87F95">
      <w:pPr>
        <w:jc w:val="both"/>
        <w:rPr>
          <w:lang w:val="en-GB" w:eastAsia="en-GB"/>
        </w:rPr>
      </w:pPr>
      <w:r w:rsidRPr="00B87F95">
        <w:rPr>
          <w:lang w:val="en-GB" w:eastAsia="en-GB"/>
        </w:rPr>
        <w:t>Countries are at various stages in developing policies on entrepreneurship education</w:t>
      </w:r>
      <w:r>
        <w:rPr>
          <w:lang w:val="en-GB" w:eastAsia="en-GB"/>
        </w:rPr>
        <w:t xml:space="preserve">. </w:t>
      </w:r>
      <w:r w:rsidRPr="00B87F95">
        <w:rPr>
          <w:lang w:val="en-GB" w:eastAsia="en-GB"/>
        </w:rPr>
        <w:t>Specific entrepreneurship education strategies are concentrated in northern Europe and the western Balkan region</w:t>
      </w:r>
      <w:r>
        <w:rPr>
          <w:lang w:val="en-GB" w:eastAsia="en-GB"/>
        </w:rPr>
        <w:t xml:space="preserve">. </w:t>
      </w:r>
      <w:r w:rsidRPr="00B87F95">
        <w:rPr>
          <w:lang w:val="en-GB" w:eastAsia="en-GB"/>
        </w:rPr>
        <w:t>Employability is a common objective across all entrepreneurship education strategies</w:t>
      </w:r>
      <w:r>
        <w:rPr>
          <w:lang w:val="en-GB" w:eastAsia="en-GB"/>
        </w:rPr>
        <w:t>.</w:t>
      </w:r>
    </w:p>
    <w:p w14:paraId="1C13564E" w14:textId="77777777" w:rsidR="00B87F95" w:rsidRPr="00C82266" w:rsidRDefault="00B87F95" w:rsidP="00B87F95">
      <w:pPr>
        <w:jc w:val="both"/>
        <w:rPr>
          <w:lang w:val="en-GB"/>
        </w:rPr>
      </w:pPr>
      <w:r>
        <w:rPr>
          <w:lang w:val="en-GB" w:eastAsia="en-GB"/>
        </w:rPr>
        <w:t>However, l</w:t>
      </w:r>
      <w:r w:rsidRPr="00B87F95">
        <w:rPr>
          <w:lang w:val="en-GB" w:eastAsia="en-GB"/>
        </w:rPr>
        <w:t>earning outcomes linked to entrepreneurship education remain fragmented and are not yet a strategy priority</w:t>
      </w:r>
      <w:r>
        <w:rPr>
          <w:lang w:val="en-GB" w:eastAsia="en-GB"/>
        </w:rPr>
        <w:t>; and s</w:t>
      </w:r>
      <w:r w:rsidRPr="00B87F95">
        <w:rPr>
          <w:lang w:val="en-GB" w:eastAsia="en-GB"/>
        </w:rPr>
        <w:t>table and comprehensive funding streams still need to be developed across Europe</w:t>
      </w:r>
      <w:r>
        <w:rPr>
          <w:lang w:val="en-GB" w:eastAsia="en-GB"/>
        </w:rPr>
        <w:t>.</w:t>
      </w:r>
      <w:r w:rsidRPr="00C82266">
        <w:rPr>
          <w:lang w:val="en-GB"/>
        </w:rPr>
        <w:t xml:space="preserve"> </w:t>
      </w:r>
    </w:p>
    <w:p w14:paraId="596B8FC0" w14:textId="5864525D" w:rsidR="00B87F95" w:rsidRDefault="00B87F95" w:rsidP="00B87F95">
      <w:pPr>
        <w:jc w:val="both"/>
        <w:rPr>
          <w:lang w:val="en-GB" w:eastAsia="en-GB"/>
        </w:rPr>
      </w:pPr>
      <w:r w:rsidRPr="00B87F95">
        <w:rPr>
          <w:lang w:val="en-GB" w:eastAsia="en-GB"/>
        </w:rPr>
        <w:t>Over half of the countries have very few or no guidelines on teaching methods for entrepreneurship educatio</w:t>
      </w:r>
      <w:r>
        <w:rPr>
          <w:lang w:val="en-GB" w:eastAsia="en-GB"/>
        </w:rPr>
        <w:t>n; e</w:t>
      </w:r>
      <w:r w:rsidRPr="00B87F95">
        <w:rPr>
          <w:lang w:val="en-GB" w:eastAsia="en-GB"/>
        </w:rPr>
        <w:t>ntrepreneurship education is rarely addressed in initial teacher education but is more common in continuing prof</w:t>
      </w:r>
      <w:r>
        <w:rPr>
          <w:lang w:val="en-GB" w:eastAsia="en-GB"/>
        </w:rPr>
        <w:t>essional development.</w:t>
      </w:r>
    </w:p>
    <w:p w14:paraId="5FB39D3F" w14:textId="719CEB3B" w:rsidR="00981548" w:rsidRPr="0059064C" w:rsidRDefault="0069572D" w:rsidP="00B87F95">
      <w:pPr>
        <w:jc w:val="both"/>
        <w:rPr>
          <w:lang w:val="en-GB" w:eastAsia="en-GB"/>
        </w:rPr>
      </w:pPr>
      <w:hyperlink r:id="rId51" w:history="1">
        <w:r w:rsidR="0059064C" w:rsidRPr="0059064C">
          <w:rPr>
            <w:rStyle w:val="Hyperlink"/>
            <w:lang w:val="en-GB" w:eastAsia="en-GB"/>
          </w:rPr>
          <w:t>The report and highlights</w:t>
        </w:r>
      </w:hyperlink>
    </w:p>
    <w:p w14:paraId="73A90ACF" w14:textId="77777777" w:rsidR="007F09DE" w:rsidRPr="009D0BD2" w:rsidRDefault="009A133F" w:rsidP="009D0BD2">
      <w:pPr>
        <w:pStyle w:val="Kop1"/>
      </w:pPr>
      <w:bookmarkStart w:id="37" w:name="_Toc444869858"/>
      <w:r w:rsidRPr="009D0BD2">
        <w:t>Developments in other policy fields</w:t>
      </w:r>
      <w:bookmarkEnd w:id="37"/>
    </w:p>
    <w:p w14:paraId="3710950C" w14:textId="77777777" w:rsidR="009A133F" w:rsidRPr="009D0BD2" w:rsidRDefault="009A133F" w:rsidP="009D0BD2">
      <w:pPr>
        <w:pStyle w:val="Kop2"/>
      </w:pPr>
      <w:bookmarkStart w:id="38" w:name="_Toc444869859"/>
      <w:r w:rsidRPr="009D0BD2">
        <w:t>EU Youth Report</w:t>
      </w:r>
      <w:bookmarkEnd w:id="38"/>
    </w:p>
    <w:p w14:paraId="1232ABED" w14:textId="77777777" w:rsidR="009A133F" w:rsidRDefault="009A133F" w:rsidP="009A133F">
      <w:pPr>
        <w:rPr>
          <w:lang w:val="en-GB" w:eastAsia="en-GB"/>
        </w:rPr>
      </w:pPr>
      <w:r>
        <w:rPr>
          <w:lang w:val="en-GB" w:eastAsia="en-GB"/>
        </w:rPr>
        <w:t>15 September 2015</w:t>
      </w:r>
    </w:p>
    <w:p w14:paraId="3CFA7046" w14:textId="77777777" w:rsidR="009A133F" w:rsidRDefault="009A133F" w:rsidP="000F6ECA">
      <w:pPr>
        <w:jc w:val="both"/>
        <w:rPr>
          <w:lang w:val="en-GB" w:eastAsia="en-GB"/>
        </w:rPr>
      </w:pPr>
      <w:r>
        <w:rPr>
          <w:lang w:val="en-GB" w:eastAsia="en-GB"/>
        </w:rPr>
        <w:t xml:space="preserve">This report presents a picture of the situation of young people in Europe and how policymakers addressed it in 2013-2015. The Joint report is prepared by the Commission and adopted by the Council. </w:t>
      </w:r>
    </w:p>
    <w:p w14:paraId="6EB20AB6" w14:textId="77777777" w:rsidR="009A133F" w:rsidRDefault="009A133F" w:rsidP="000F6ECA">
      <w:pPr>
        <w:jc w:val="both"/>
        <w:rPr>
          <w:lang w:val="en-GB" w:eastAsia="en-GB"/>
        </w:rPr>
      </w:pPr>
      <w:r>
        <w:rPr>
          <w:lang w:val="en-GB" w:eastAsia="en-GB"/>
        </w:rPr>
        <w:t xml:space="preserve">The report evaluates progress towards the objectives of the </w:t>
      </w:r>
      <w:hyperlink r:id="rId52" w:history="1">
        <w:r w:rsidRPr="009A133F">
          <w:rPr>
            <w:rStyle w:val="Hyperlink"/>
            <w:lang w:val="en-GB" w:eastAsia="en-GB"/>
          </w:rPr>
          <w:t>EU Youth Strategy</w:t>
        </w:r>
      </w:hyperlink>
      <w:r>
        <w:rPr>
          <w:lang w:val="en-GB" w:eastAsia="en-GB"/>
        </w:rPr>
        <w:t xml:space="preserve"> (2010-2018), as well as priorities defined for the latest work cycle. It identifies good practices and serves as a basis for establishing priorities for the next work cycle. </w:t>
      </w:r>
    </w:p>
    <w:p w14:paraId="3F51EDCA" w14:textId="77777777" w:rsidR="009A133F" w:rsidRDefault="009A133F" w:rsidP="000F6ECA">
      <w:pPr>
        <w:jc w:val="both"/>
        <w:rPr>
          <w:lang w:val="en-GB" w:eastAsia="en-GB"/>
        </w:rPr>
      </w:pPr>
      <w:r w:rsidRPr="009A133F">
        <w:rPr>
          <w:lang w:val="en-GB" w:eastAsia="en-GB"/>
        </w:rPr>
        <w:t>The EU Youth Report reveals that generally young people are better educated than their predecessors and less young people drop out of school in the EU. Yet, 8.7 million young people aged 15-29 are unemployed, 13.7 million are not in employment, education or training (NEETs) and close to 27 million are at risk of pover</w:t>
      </w:r>
      <w:r>
        <w:rPr>
          <w:lang w:val="en-GB" w:eastAsia="en-GB"/>
        </w:rPr>
        <w:t>ty or exclusion</w:t>
      </w:r>
      <w:r w:rsidRPr="009A133F">
        <w:rPr>
          <w:lang w:val="en-GB" w:eastAsia="en-GB"/>
        </w:rPr>
        <w:t>. Since 2013, the EU and Member States have taken action to support young people, particularly to help them find a job. This requires more systematic cooperation across policies and actors under a comprehensive approach that reflects the scale of the challenge ahead. There is a particular need to reinforce links with sports and education in order to increase social inclusion and increase youth competences and employability. It is thereby essential to give young people a strong political voice in the process.</w:t>
      </w:r>
    </w:p>
    <w:p w14:paraId="1543E63B" w14:textId="5A949D42" w:rsidR="009D0BD2" w:rsidRPr="009A133F" w:rsidRDefault="0069572D" w:rsidP="000F6ECA">
      <w:pPr>
        <w:jc w:val="both"/>
        <w:rPr>
          <w:lang w:val="en-GB" w:eastAsia="en-GB"/>
        </w:rPr>
      </w:pPr>
      <w:hyperlink r:id="rId53" w:history="1">
        <w:r w:rsidR="009D0BD2" w:rsidRPr="009D0BD2">
          <w:rPr>
            <w:rStyle w:val="Hyperlink"/>
            <w:lang w:val="en-GB" w:eastAsia="en-GB"/>
          </w:rPr>
          <w:t>The EU Youth Report</w:t>
        </w:r>
      </w:hyperlink>
    </w:p>
    <w:p w14:paraId="66EAB146" w14:textId="3A7633EE" w:rsidR="008A59C4" w:rsidRDefault="008A59C4" w:rsidP="000F6ECA">
      <w:pPr>
        <w:spacing w:after="160" w:line="259" w:lineRule="auto"/>
        <w:jc w:val="both"/>
        <w:rPr>
          <w:lang w:val="en-GB"/>
        </w:rPr>
      </w:pPr>
      <w:r>
        <w:rPr>
          <w:lang w:val="en-GB"/>
        </w:rPr>
        <w:t>During the Education, Training, Culture and Youth Council on 23 November 2015, t</w:t>
      </w:r>
      <w:r w:rsidR="009D0BD2">
        <w:rPr>
          <w:lang w:val="en-GB"/>
        </w:rPr>
        <w:t>he Council adopted a R</w:t>
      </w:r>
      <w:r w:rsidR="00F328B6">
        <w:rPr>
          <w:lang w:val="en-GB"/>
        </w:rPr>
        <w:t>esolution on a new Work Plan for Youth (2016-2018); it is an operational plan with a precise timetable to enable the EU  and its member states to continue to tackle high youth unemployment rates and the consequences of the economic crisis for young people. It sets out six priorities:</w:t>
      </w:r>
    </w:p>
    <w:p w14:paraId="549FB401" w14:textId="77777777" w:rsidR="00F328B6" w:rsidRDefault="00F328B6" w:rsidP="00702EF8">
      <w:pPr>
        <w:pStyle w:val="Lijstalinea"/>
        <w:numPr>
          <w:ilvl w:val="0"/>
          <w:numId w:val="8"/>
        </w:numPr>
        <w:spacing w:after="160" w:line="259" w:lineRule="auto"/>
        <w:jc w:val="both"/>
        <w:rPr>
          <w:lang w:val="en-GB"/>
        </w:rPr>
      </w:pPr>
      <w:r>
        <w:rPr>
          <w:lang w:val="en-GB"/>
        </w:rPr>
        <w:t>Social inclusion of all young people;</w:t>
      </w:r>
    </w:p>
    <w:p w14:paraId="0DC96195" w14:textId="77777777" w:rsidR="00F328B6" w:rsidRDefault="00F328B6" w:rsidP="00702EF8">
      <w:pPr>
        <w:pStyle w:val="Lijstalinea"/>
        <w:numPr>
          <w:ilvl w:val="0"/>
          <w:numId w:val="8"/>
        </w:numPr>
        <w:spacing w:after="160" w:line="259" w:lineRule="auto"/>
        <w:jc w:val="both"/>
        <w:rPr>
          <w:lang w:val="en-GB"/>
        </w:rPr>
      </w:pPr>
      <w:r>
        <w:rPr>
          <w:lang w:val="en-GB"/>
        </w:rPr>
        <w:t xml:space="preserve">Participation of all young people in democratic and civic life; </w:t>
      </w:r>
    </w:p>
    <w:p w14:paraId="01B15518" w14:textId="77777777" w:rsidR="00F328B6" w:rsidRDefault="00F328B6" w:rsidP="00702EF8">
      <w:pPr>
        <w:pStyle w:val="Lijstalinea"/>
        <w:numPr>
          <w:ilvl w:val="0"/>
          <w:numId w:val="8"/>
        </w:numPr>
        <w:spacing w:after="160" w:line="259" w:lineRule="auto"/>
        <w:jc w:val="both"/>
        <w:rPr>
          <w:lang w:val="en-GB"/>
        </w:rPr>
      </w:pPr>
      <w:r>
        <w:rPr>
          <w:lang w:val="en-GB"/>
        </w:rPr>
        <w:t>Transition of young people from youth to adulthood;</w:t>
      </w:r>
    </w:p>
    <w:p w14:paraId="0B1A2388" w14:textId="77777777" w:rsidR="00F328B6" w:rsidRDefault="00F328B6" w:rsidP="00702EF8">
      <w:pPr>
        <w:pStyle w:val="Lijstalinea"/>
        <w:numPr>
          <w:ilvl w:val="0"/>
          <w:numId w:val="8"/>
        </w:numPr>
        <w:spacing w:after="160" w:line="259" w:lineRule="auto"/>
        <w:jc w:val="both"/>
        <w:rPr>
          <w:lang w:val="en-GB"/>
        </w:rPr>
      </w:pPr>
      <w:r>
        <w:rPr>
          <w:lang w:val="en-GB"/>
        </w:rPr>
        <w:t>Support for young people’s health and well-being;</w:t>
      </w:r>
    </w:p>
    <w:p w14:paraId="04D1D986" w14:textId="77777777" w:rsidR="00F328B6" w:rsidRDefault="00F328B6" w:rsidP="00702EF8">
      <w:pPr>
        <w:pStyle w:val="Lijstalinea"/>
        <w:numPr>
          <w:ilvl w:val="0"/>
          <w:numId w:val="8"/>
        </w:numPr>
        <w:spacing w:after="160" w:line="259" w:lineRule="auto"/>
        <w:jc w:val="both"/>
        <w:rPr>
          <w:lang w:val="en-GB"/>
        </w:rPr>
      </w:pPr>
      <w:r>
        <w:rPr>
          <w:lang w:val="en-GB"/>
        </w:rPr>
        <w:t>Addressing challenges and opportunities of the digital era for youth policy;</w:t>
      </w:r>
    </w:p>
    <w:p w14:paraId="0192AE3C" w14:textId="77777777" w:rsidR="00F328B6" w:rsidRDefault="00F328B6" w:rsidP="00702EF8">
      <w:pPr>
        <w:pStyle w:val="Lijstalinea"/>
        <w:numPr>
          <w:ilvl w:val="0"/>
          <w:numId w:val="8"/>
        </w:numPr>
        <w:spacing w:after="160" w:line="259" w:lineRule="auto"/>
        <w:jc w:val="both"/>
        <w:rPr>
          <w:lang w:val="en-GB"/>
        </w:rPr>
      </w:pPr>
      <w:r>
        <w:rPr>
          <w:lang w:val="en-GB"/>
        </w:rPr>
        <w:t xml:space="preserve">Responses to the opportunities and challenges presented by the increasing number of young migrants and refugees in the EU. </w:t>
      </w:r>
    </w:p>
    <w:p w14:paraId="7332DFBB" w14:textId="77777777" w:rsidR="000F6ECA" w:rsidRDefault="0069572D" w:rsidP="000F6ECA">
      <w:pPr>
        <w:spacing w:after="160" w:line="259" w:lineRule="auto"/>
        <w:jc w:val="both"/>
        <w:rPr>
          <w:rStyle w:val="Hyperlink"/>
          <w:lang w:val="en-GB"/>
        </w:rPr>
      </w:pPr>
      <w:hyperlink r:id="rId54" w:history="1">
        <w:r w:rsidR="00F328B6" w:rsidRPr="00F328B6">
          <w:rPr>
            <w:rStyle w:val="Hyperlink"/>
            <w:lang w:val="en-GB"/>
          </w:rPr>
          <w:t>The resolution</w:t>
        </w:r>
      </w:hyperlink>
    </w:p>
    <w:p w14:paraId="02603C00" w14:textId="14208603" w:rsidR="00B873C2" w:rsidRPr="009D0BD2" w:rsidRDefault="00B873C2" w:rsidP="009D0BD2">
      <w:pPr>
        <w:pStyle w:val="Kop2"/>
      </w:pPr>
      <w:bookmarkStart w:id="39" w:name="_Toc444869860"/>
      <w:r w:rsidRPr="009D0BD2">
        <w:t>Employment and Social Developments in Europe</w:t>
      </w:r>
      <w:bookmarkEnd w:id="39"/>
    </w:p>
    <w:p w14:paraId="7F3E4D18" w14:textId="3EFEEFFE" w:rsidR="00B873C2" w:rsidRDefault="00B873C2" w:rsidP="00544F23">
      <w:pPr>
        <w:jc w:val="both"/>
        <w:rPr>
          <w:lang w:val="en-GB" w:eastAsia="en-GB"/>
        </w:rPr>
      </w:pPr>
      <w:r>
        <w:rPr>
          <w:lang w:val="en-GB" w:eastAsia="en-GB"/>
        </w:rPr>
        <w:t>21 January 2016, European Commission, DG Employment, Social Affairs and Inclusion</w:t>
      </w:r>
    </w:p>
    <w:p w14:paraId="30E792FE" w14:textId="54E97ABE" w:rsidR="00B873C2" w:rsidRDefault="00B873C2" w:rsidP="00544F23">
      <w:pPr>
        <w:jc w:val="both"/>
        <w:rPr>
          <w:lang w:val="en-GB" w:eastAsia="en-GB"/>
        </w:rPr>
      </w:pPr>
      <w:r>
        <w:rPr>
          <w:lang w:val="en-GB" w:eastAsia="en-GB"/>
        </w:rPr>
        <w:t xml:space="preserve">The ESDE review provides an overview of the most recent developments, trends and challenges in the employment and social fields, followed by an in-depth look into several themes linked to the Commission’s current social and employment policy agenda. </w:t>
      </w:r>
    </w:p>
    <w:p w14:paraId="4CC5A220" w14:textId="33863C1E" w:rsidR="00D01F70" w:rsidRDefault="00544F23" w:rsidP="00544F23">
      <w:pPr>
        <w:jc w:val="both"/>
        <w:rPr>
          <w:lang w:val="en-GB" w:eastAsia="en-GB"/>
        </w:rPr>
      </w:pPr>
      <w:r>
        <w:rPr>
          <w:lang w:val="en-GB" w:eastAsia="en-GB"/>
        </w:rPr>
        <w:t xml:space="preserve">Given the increased attention for skills, this review has more and more links with education and training. </w:t>
      </w:r>
      <w:r w:rsidR="00D01F70">
        <w:rPr>
          <w:lang w:val="en-GB" w:eastAsia="en-GB"/>
        </w:rPr>
        <w:t xml:space="preserve">Education and training are </w:t>
      </w:r>
      <w:r w:rsidR="00970D28">
        <w:rPr>
          <w:lang w:val="en-GB" w:eastAsia="en-GB"/>
        </w:rPr>
        <w:t xml:space="preserve">mostly </w:t>
      </w:r>
      <w:r w:rsidR="00D01F70">
        <w:rPr>
          <w:lang w:val="en-GB" w:eastAsia="en-GB"/>
        </w:rPr>
        <w:t xml:space="preserve">addressed in the second (‘Improving labour markets’ efficiency’) and third (‘Removing obstacles to job creation) part of the review. </w:t>
      </w:r>
    </w:p>
    <w:p w14:paraId="751D6AAA" w14:textId="0CBC3F2F" w:rsidR="00D01F70" w:rsidRDefault="00D01F70" w:rsidP="00702EF8">
      <w:pPr>
        <w:pStyle w:val="Lijstalinea"/>
        <w:numPr>
          <w:ilvl w:val="0"/>
          <w:numId w:val="8"/>
        </w:numPr>
        <w:spacing w:after="160" w:line="259" w:lineRule="auto"/>
        <w:jc w:val="both"/>
        <w:rPr>
          <w:lang w:val="en-GB"/>
        </w:rPr>
      </w:pPr>
      <w:r>
        <w:rPr>
          <w:lang w:val="en-GB"/>
        </w:rPr>
        <w:t xml:space="preserve">Improving labour market’s efficiency: </w:t>
      </w:r>
    </w:p>
    <w:p w14:paraId="04C4CB69" w14:textId="34EFE0FD" w:rsidR="00D01F70" w:rsidRDefault="00D01F70" w:rsidP="00544F23">
      <w:pPr>
        <w:jc w:val="both"/>
        <w:rPr>
          <w:lang w:val="en-GB" w:eastAsia="en-GB"/>
        </w:rPr>
      </w:pPr>
      <w:r>
        <w:rPr>
          <w:lang w:val="en-GB" w:eastAsia="en-GB"/>
        </w:rPr>
        <w:t xml:space="preserve">Low participation in lifelong learning and training especially affects low-skilled; whilst analysis shows that long-term unemployed who have participated in training or education (and have previous work experience) are far more likely to move to a sustainable job, especially among the low-skilled. </w:t>
      </w:r>
    </w:p>
    <w:p w14:paraId="3D63B3A7" w14:textId="388395E4" w:rsidR="00D01F70" w:rsidRDefault="00D01F70" w:rsidP="00544F23">
      <w:pPr>
        <w:jc w:val="both"/>
        <w:rPr>
          <w:lang w:val="en-GB" w:eastAsia="en-GB"/>
        </w:rPr>
      </w:pPr>
      <w:r>
        <w:rPr>
          <w:lang w:val="en-GB" w:eastAsia="en-GB"/>
        </w:rPr>
        <w:t>It also appears that, despite recent progress, a large portion of third-country migrants have low levels of education. Analysis also shows that the share of third-country migrants with at least upper secondary education who work in low-skilled occupations (‘brain waste’ or ‘over</w:t>
      </w:r>
      <w:r w:rsidR="00970D28">
        <w:rPr>
          <w:lang w:val="en-GB" w:eastAsia="en-GB"/>
        </w:rPr>
        <w:t>-</w:t>
      </w:r>
      <w:r>
        <w:rPr>
          <w:lang w:val="en-GB" w:eastAsia="en-GB"/>
        </w:rPr>
        <w:t xml:space="preserve">qualification’) is significantly higher than that of the native population. </w:t>
      </w:r>
    </w:p>
    <w:p w14:paraId="6C84AA3B" w14:textId="0676AAF5" w:rsidR="00970D28" w:rsidRDefault="00970D28" w:rsidP="00702EF8">
      <w:pPr>
        <w:pStyle w:val="Lijstalinea"/>
        <w:numPr>
          <w:ilvl w:val="0"/>
          <w:numId w:val="8"/>
        </w:numPr>
        <w:spacing w:after="160" w:line="259" w:lineRule="auto"/>
        <w:jc w:val="both"/>
        <w:rPr>
          <w:lang w:val="en-GB"/>
        </w:rPr>
      </w:pPr>
      <w:r>
        <w:rPr>
          <w:lang w:val="en-GB"/>
        </w:rPr>
        <w:t>Removing obstacles to job creation:</w:t>
      </w:r>
    </w:p>
    <w:p w14:paraId="7E8FE80C" w14:textId="77777777" w:rsidR="00970D28" w:rsidRDefault="00970D28" w:rsidP="00544F23">
      <w:pPr>
        <w:jc w:val="both"/>
        <w:rPr>
          <w:lang w:val="en-GB" w:eastAsia="en-GB"/>
        </w:rPr>
      </w:pPr>
      <w:r>
        <w:rPr>
          <w:lang w:val="en-GB" w:eastAsia="en-GB"/>
        </w:rPr>
        <w:t xml:space="preserve">Four out of ten EU employers surveyed in 2013 reported difficulties in finding staff with the right skills. </w:t>
      </w:r>
    </w:p>
    <w:p w14:paraId="0D41A2D8" w14:textId="09612B47" w:rsidR="00280FD9" w:rsidRDefault="00280FD9" w:rsidP="00544F23">
      <w:pPr>
        <w:jc w:val="both"/>
        <w:rPr>
          <w:lang w:val="en-GB" w:eastAsia="en-GB"/>
        </w:rPr>
      </w:pPr>
      <w:r>
        <w:rPr>
          <w:lang w:val="en-GB" w:eastAsia="en-GB"/>
        </w:rPr>
        <w:t>Adults’ current skills are largely determined by the education and training opportunities available in youth, through initial education and training. Work-based learning programmes provide young people with work experience and a mix of job-specific and transversal skills. Improvin</w:t>
      </w:r>
      <w:r w:rsidR="007916DD">
        <w:rPr>
          <w:lang w:val="en-GB" w:eastAsia="en-GB"/>
        </w:rPr>
        <w:t>g the quality and relevance of V</w:t>
      </w:r>
      <w:r>
        <w:rPr>
          <w:lang w:val="en-GB" w:eastAsia="en-GB"/>
        </w:rPr>
        <w:t>ET systems is also a key prerequisite for enhancing the attractiveness of apprenticeship and vocational tracks.</w:t>
      </w:r>
    </w:p>
    <w:p w14:paraId="2C698FF9" w14:textId="2A1103C6" w:rsidR="00280FD9" w:rsidRDefault="00280FD9" w:rsidP="00544F23">
      <w:pPr>
        <w:jc w:val="both"/>
        <w:rPr>
          <w:lang w:val="en-GB" w:eastAsia="en-GB"/>
        </w:rPr>
      </w:pPr>
      <w:r>
        <w:rPr>
          <w:lang w:val="en-GB" w:eastAsia="en-GB"/>
        </w:rPr>
        <w:t xml:space="preserve">Nevertheless, the rapidly changing needs of the labour market require continuous updating of skills and knowledge. </w:t>
      </w:r>
    </w:p>
    <w:p w14:paraId="3C579187" w14:textId="6FD29163" w:rsidR="00970D28" w:rsidRDefault="00970D28" w:rsidP="00544F23">
      <w:pPr>
        <w:jc w:val="both"/>
        <w:rPr>
          <w:lang w:val="en-GB" w:eastAsia="en-GB"/>
        </w:rPr>
      </w:pPr>
      <w:r>
        <w:rPr>
          <w:lang w:val="en-GB" w:eastAsia="en-GB"/>
        </w:rPr>
        <w:t>Adult learning and professional learning plays an important role in ensuring that skills are updated. An average of 10,7 % of adults aged 25-64 in the EU stated that they attended some education o</w:t>
      </w:r>
      <w:r w:rsidR="00280FD9">
        <w:rPr>
          <w:lang w:val="en-GB" w:eastAsia="en-GB"/>
        </w:rPr>
        <w:t>r training in the four weeks prior to the interview</w:t>
      </w:r>
      <w:r>
        <w:rPr>
          <w:lang w:val="en-GB" w:eastAsia="en-GB"/>
        </w:rPr>
        <w:t>.</w:t>
      </w:r>
      <w:r w:rsidR="00280FD9">
        <w:rPr>
          <w:lang w:val="en-GB" w:eastAsia="en-GB"/>
        </w:rPr>
        <w:t xml:space="preserve"> This is far from reaching the 2020 target of 15 %. In case of low-skilled adults the average is under 4 %. In total, only 40 % of adults participate in education annually (in the US, it was close to 60 % in 2012). </w:t>
      </w:r>
    </w:p>
    <w:p w14:paraId="0CBA865F" w14:textId="470000F8" w:rsidR="00970D28" w:rsidRDefault="00970D28" w:rsidP="00544F23">
      <w:pPr>
        <w:jc w:val="both"/>
        <w:rPr>
          <w:lang w:val="en-GB" w:eastAsia="en-GB"/>
        </w:rPr>
      </w:pPr>
      <w:r>
        <w:rPr>
          <w:lang w:val="en-GB" w:eastAsia="en-GB"/>
        </w:rPr>
        <w:t xml:space="preserve">Employers can play a role in reducing skills shortages, including through upgrading the skills of their staff. It appears that training opportunities depend on the size of the company (large companies provide fare more training opportunities than small companies). </w:t>
      </w:r>
    </w:p>
    <w:p w14:paraId="5305A2AB" w14:textId="1A3E5D54" w:rsidR="00D40E70" w:rsidRDefault="00D40E70" w:rsidP="00702EF8">
      <w:pPr>
        <w:pStyle w:val="Lijstalinea"/>
        <w:numPr>
          <w:ilvl w:val="0"/>
          <w:numId w:val="8"/>
        </w:numPr>
        <w:spacing w:after="160" w:line="259" w:lineRule="auto"/>
        <w:jc w:val="both"/>
        <w:rPr>
          <w:lang w:val="en-GB"/>
        </w:rPr>
      </w:pPr>
      <w:r>
        <w:rPr>
          <w:lang w:val="en-GB"/>
        </w:rPr>
        <w:t>Conclusions</w:t>
      </w:r>
    </w:p>
    <w:p w14:paraId="0F1F8362" w14:textId="2A119AC9" w:rsidR="00D40E70" w:rsidRDefault="00D40E70" w:rsidP="00544F23">
      <w:pPr>
        <w:jc w:val="both"/>
        <w:rPr>
          <w:lang w:val="en-GB" w:eastAsia="en-GB"/>
        </w:rPr>
      </w:pPr>
      <w:r>
        <w:rPr>
          <w:lang w:val="en-GB" w:eastAsia="en-GB"/>
        </w:rPr>
        <w:t>Well designed, efficient and accessible education systems and training schemes, with strong links to the labou</w:t>
      </w:r>
      <w:r w:rsidR="00544F23">
        <w:rPr>
          <w:lang w:val="en-GB" w:eastAsia="en-GB"/>
        </w:rPr>
        <w:t>r market, are cru</w:t>
      </w:r>
      <w:r>
        <w:rPr>
          <w:lang w:val="en-GB" w:eastAsia="en-GB"/>
        </w:rPr>
        <w:t xml:space="preserve">cial for building up and maintaining the required level of skills in the labour force. When it comes to education and training of adults, particular attention should be devoted to the workers currently disadvantaged on the labour market (low-skilled, unemployed and inactive). Job-oriented training appears essential for assuring a transition from school into the labour market. </w:t>
      </w:r>
    </w:p>
    <w:p w14:paraId="51936BC3" w14:textId="089D6168" w:rsidR="00D40E70" w:rsidRDefault="00D40E70" w:rsidP="00544F23">
      <w:pPr>
        <w:jc w:val="both"/>
        <w:rPr>
          <w:lang w:val="en-GB" w:eastAsia="en-GB"/>
        </w:rPr>
      </w:pPr>
      <w:r>
        <w:rPr>
          <w:lang w:val="en-GB" w:eastAsia="en-GB"/>
        </w:rPr>
        <w:t xml:space="preserve">Employers could be encouraged to engage in continuous improvement of their staff’s skills. In addition, motivation by workers themselves to upgrade their skills is necessary. </w:t>
      </w:r>
    </w:p>
    <w:p w14:paraId="448DA26F" w14:textId="6D3727B8" w:rsidR="00D40E70" w:rsidRDefault="00D40E70" w:rsidP="00B873C2">
      <w:pPr>
        <w:rPr>
          <w:lang w:val="en-GB" w:eastAsia="en-GB"/>
        </w:rPr>
      </w:pPr>
      <w:r>
        <w:rPr>
          <w:lang w:val="en-GB" w:eastAsia="en-GB"/>
        </w:rPr>
        <w:t xml:space="preserve">Finally, there is a particular role for Europe with regard to transnational skills recognition. </w:t>
      </w:r>
    </w:p>
    <w:p w14:paraId="63B30D2C" w14:textId="05BF1A83" w:rsidR="009D0BD2" w:rsidRDefault="0069572D" w:rsidP="00B873C2">
      <w:pPr>
        <w:rPr>
          <w:lang w:val="en-GB" w:eastAsia="en-GB"/>
        </w:rPr>
      </w:pPr>
      <w:hyperlink r:id="rId55" w:history="1">
        <w:r w:rsidR="009D0BD2" w:rsidRPr="009D0BD2">
          <w:rPr>
            <w:rStyle w:val="Hyperlink"/>
            <w:lang w:val="en-GB" w:eastAsia="en-GB"/>
          </w:rPr>
          <w:t>The review</w:t>
        </w:r>
      </w:hyperlink>
    </w:p>
    <w:p w14:paraId="443DD230" w14:textId="77777777" w:rsidR="00544F23" w:rsidRPr="00B873C2" w:rsidRDefault="00544F23" w:rsidP="00B873C2">
      <w:pPr>
        <w:rPr>
          <w:lang w:val="en-GB" w:eastAsia="en-GB"/>
        </w:rPr>
      </w:pPr>
    </w:p>
    <w:p w14:paraId="01BDFB1F" w14:textId="77777777" w:rsidR="00A767AE" w:rsidRDefault="00A767AE" w:rsidP="000F6ECA">
      <w:pPr>
        <w:spacing w:after="160" w:line="259" w:lineRule="auto"/>
        <w:jc w:val="both"/>
        <w:rPr>
          <w:rStyle w:val="Hyperlink"/>
          <w:lang w:val="en-GB"/>
        </w:rPr>
      </w:pPr>
    </w:p>
    <w:p w14:paraId="70577D18" w14:textId="77777777" w:rsidR="00A767AE" w:rsidRDefault="00A767AE" w:rsidP="000F6ECA">
      <w:pPr>
        <w:spacing w:after="160" w:line="259" w:lineRule="auto"/>
        <w:jc w:val="both"/>
        <w:rPr>
          <w:rStyle w:val="Hyperlink"/>
          <w:lang w:val="en-GB"/>
        </w:rPr>
      </w:pPr>
    </w:p>
    <w:p w14:paraId="676701B2" w14:textId="77777777" w:rsidR="00A767AE" w:rsidRDefault="00A767AE" w:rsidP="000F6ECA">
      <w:pPr>
        <w:spacing w:after="160" w:line="259" w:lineRule="auto"/>
        <w:jc w:val="both"/>
        <w:rPr>
          <w:rStyle w:val="Hyperlink"/>
          <w:lang w:val="en-GB"/>
        </w:rPr>
      </w:pPr>
    </w:p>
    <w:p w14:paraId="700A7D06" w14:textId="2237D5B6" w:rsidR="00CF33EC" w:rsidRDefault="00CF33EC" w:rsidP="000F6ECA">
      <w:pPr>
        <w:spacing w:after="160" w:line="259" w:lineRule="auto"/>
        <w:jc w:val="both"/>
        <w:rPr>
          <w:rStyle w:val="Hyperlink"/>
          <w:lang w:val="en-GB"/>
        </w:rPr>
      </w:pPr>
    </w:p>
    <w:p w14:paraId="2532A02E" w14:textId="77777777" w:rsidR="00CF33EC" w:rsidRDefault="00CF33EC" w:rsidP="000F6ECA">
      <w:pPr>
        <w:spacing w:after="160" w:line="259" w:lineRule="auto"/>
        <w:jc w:val="both"/>
        <w:rPr>
          <w:rStyle w:val="Hyperlink"/>
          <w:lang w:val="en-GB"/>
        </w:rPr>
      </w:pPr>
    </w:p>
    <w:p w14:paraId="5BA8C2FF" w14:textId="01F69CCC" w:rsidR="00D75587" w:rsidRPr="00A973A6" w:rsidRDefault="00D75587" w:rsidP="000F6ECA">
      <w:pPr>
        <w:spacing w:after="160" w:line="259" w:lineRule="auto"/>
        <w:jc w:val="both"/>
        <w:rPr>
          <w:lang w:val="en-GB"/>
        </w:rPr>
      </w:pPr>
      <w:bookmarkStart w:id="40" w:name="_GoBack"/>
      <w:bookmarkEnd w:id="40"/>
    </w:p>
    <w:sectPr w:rsidR="00D75587" w:rsidRPr="00A973A6" w:rsidSect="00CB2387">
      <w:headerReference w:type="default" r:id="rId56"/>
      <w:footerReference w:type="default" r:id="rId5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AF7D78" w14:textId="77777777" w:rsidR="007916DD" w:rsidRDefault="007916DD" w:rsidP="00245496">
      <w:pPr>
        <w:spacing w:after="0" w:line="240" w:lineRule="auto"/>
      </w:pPr>
      <w:r>
        <w:separator/>
      </w:r>
    </w:p>
  </w:endnote>
  <w:endnote w:type="continuationSeparator" w:id="0">
    <w:p w14:paraId="6097214F" w14:textId="77777777" w:rsidR="007916DD" w:rsidRDefault="007916DD" w:rsidP="00245496">
      <w:pPr>
        <w:spacing w:after="0" w:line="240" w:lineRule="auto"/>
      </w:pPr>
      <w:r>
        <w:continuationSeparator/>
      </w:r>
    </w:p>
  </w:endnote>
  <w:endnote w:type="continuationNotice" w:id="1">
    <w:p w14:paraId="1F0CB3FA" w14:textId="77777777" w:rsidR="007916DD" w:rsidRDefault="007916D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anklin Gothic Heavy">
    <w:panose1 w:val="020B09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5558893"/>
      <w:docPartObj>
        <w:docPartGallery w:val="Page Numbers (Bottom of Page)"/>
        <w:docPartUnique/>
      </w:docPartObj>
    </w:sdtPr>
    <w:sdtEndPr/>
    <w:sdtContent>
      <w:p w14:paraId="1CD61479" w14:textId="77777777" w:rsidR="007916DD" w:rsidRDefault="007916DD">
        <w:pPr>
          <w:pStyle w:val="Voettekst"/>
        </w:pPr>
        <w:r>
          <w:fldChar w:fldCharType="begin"/>
        </w:r>
        <w:r>
          <w:instrText>PAGE   \* MERGEFORMAT</w:instrText>
        </w:r>
        <w:r>
          <w:fldChar w:fldCharType="separate"/>
        </w:r>
        <w:r w:rsidR="0069572D">
          <w:rPr>
            <w:noProof/>
          </w:rPr>
          <w:t>17</w:t>
        </w:r>
        <w:r>
          <w:fldChar w:fldCharType="end"/>
        </w:r>
      </w:p>
    </w:sdtContent>
  </w:sdt>
  <w:p w14:paraId="5BDC2ABD" w14:textId="77777777" w:rsidR="007916DD" w:rsidRDefault="007916DD">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D30357" w14:textId="77777777" w:rsidR="007916DD" w:rsidRDefault="007916DD" w:rsidP="00245496">
      <w:pPr>
        <w:spacing w:after="0" w:line="240" w:lineRule="auto"/>
      </w:pPr>
      <w:r>
        <w:separator/>
      </w:r>
    </w:p>
  </w:footnote>
  <w:footnote w:type="continuationSeparator" w:id="0">
    <w:p w14:paraId="4BC68206" w14:textId="77777777" w:rsidR="007916DD" w:rsidRDefault="007916DD" w:rsidP="00245496">
      <w:pPr>
        <w:spacing w:after="0" w:line="240" w:lineRule="auto"/>
      </w:pPr>
      <w:r>
        <w:continuationSeparator/>
      </w:r>
    </w:p>
  </w:footnote>
  <w:footnote w:type="continuationNotice" w:id="1">
    <w:p w14:paraId="0701FBB5" w14:textId="77777777" w:rsidR="007916DD" w:rsidRDefault="007916DD">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378460" w14:textId="283064BC" w:rsidR="007916DD" w:rsidRDefault="007916DD" w:rsidP="00245496">
    <w:pPr>
      <w:pStyle w:val="Koptekst"/>
    </w:pPr>
    <w:r>
      <w:rPr>
        <w:noProof/>
        <w:lang w:val="nl-BE" w:eastAsia="nl-BE"/>
      </w:rPr>
      <w:drawing>
        <wp:anchor distT="0" distB="0" distL="114300" distR="114300" simplePos="0" relativeHeight="251658240" behindDoc="0" locked="0" layoutInCell="1" allowOverlap="1" wp14:anchorId="39B1D19C" wp14:editId="75C3118E">
          <wp:simplePos x="0" y="0"/>
          <wp:positionH relativeFrom="column">
            <wp:posOffset>3511550</wp:posOffset>
          </wp:positionH>
          <wp:positionV relativeFrom="paragraph">
            <wp:posOffset>-349885</wp:posOffset>
          </wp:positionV>
          <wp:extent cx="2533650" cy="1308100"/>
          <wp:effectExtent l="0" t="0" r="0" b="6350"/>
          <wp:wrapSquare wrapText="bothSides"/>
          <wp:docPr id="99" name="Afbeelding 99" descr="C:\Users\CDS.vlor\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CDS.vlor\Desktop\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33650" cy="1308100"/>
                  </a:xfrm>
                  <a:prstGeom prst="rect">
                    <a:avLst/>
                  </a:prstGeom>
                  <a:noFill/>
                  <a:ln>
                    <a:noFill/>
                  </a:ln>
                </pic:spPr>
              </pic:pic>
            </a:graphicData>
          </a:graphic>
        </wp:anchor>
      </w:drawing>
    </w:r>
    <w:r>
      <w:t>EUN/GA/2016/DOC/014</w:t>
    </w:r>
  </w:p>
  <w:p w14:paraId="70DE29BE" w14:textId="49EC68C9" w:rsidR="007916DD" w:rsidRDefault="007916DD" w:rsidP="00245496">
    <w:pPr>
      <w:pStyle w:val="Koptekst"/>
    </w:pPr>
    <w:r>
      <w:t>11 March 2016</w:t>
    </w:r>
  </w:p>
  <w:p w14:paraId="15F45A2F" w14:textId="77777777" w:rsidR="007916DD" w:rsidRDefault="007916DD">
    <w:pPr>
      <w:pStyle w:val="Koptekst"/>
    </w:pPr>
  </w:p>
  <w:p w14:paraId="5A346FCD" w14:textId="77777777" w:rsidR="007916DD" w:rsidRDefault="007916DD" w:rsidP="006D0D65">
    <w:pPr>
      <w:pStyle w:val="Koptekst"/>
      <w:tabs>
        <w:tab w:val="clear" w:pos="4536"/>
        <w:tab w:val="clear" w:pos="9072"/>
        <w:tab w:val="left" w:pos="1500"/>
      </w:tabs>
    </w:pPr>
    <w:r>
      <w:tab/>
    </w:r>
  </w:p>
  <w:p w14:paraId="28B1E431" w14:textId="77777777" w:rsidR="007916DD" w:rsidRDefault="007916DD">
    <w:pPr>
      <w:pStyle w:val="Koptekst"/>
    </w:pPr>
  </w:p>
  <w:p w14:paraId="4B8BE1AD" w14:textId="77777777" w:rsidR="007916DD" w:rsidRDefault="007916DD">
    <w:pPr>
      <w:pStyle w:val="Koptekst"/>
    </w:pPr>
  </w:p>
  <w:p w14:paraId="505D7453" w14:textId="77777777" w:rsidR="007916DD" w:rsidRDefault="007916DD">
    <w:pPr>
      <w:pStyle w:val="Koptekst"/>
    </w:pPr>
  </w:p>
  <w:p w14:paraId="2C44831F" w14:textId="67A1B134" w:rsidR="007916DD" w:rsidRDefault="007916DD" w:rsidP="004D59B3">
    <w:pPr>
      <w:pStyle w:val="Koptekst"/>
      <w:tabs>
        <w:tab w:val="clear" w:pos="4536"/>
        <w:tab w:val="clear" w:pos="9072"/>
        <w:tab w:val="left" w:pos="804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991F86"/>
    <w:multiLevelType w:val="hybridMultilevel"/>
    <w:tmpl w:val="3DE25738"/>
    <w:lvl w:ilvl="0" w:tplc="33FCBD42">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 w15:restartNumberingAfterBreak="0">
    <w:nsid w:val="18EA6EEA"/>
    <w:multiLevelType w:val="multilevel"/>
    <w:tmpl w:val="FBA450AE"/>
    <w:lvl w:ilvl="0">
      <w:start w:val="1"/>
      <w:numFmt w:val="decimal"/>
      <w:lvlText w:val="%1."/>
      <w:lvlJc w:val="left"/>
      <w:pPr>
        <w:ind w:left="786" w:hanging="360"/>
      </w:pPr>
      <w:rPr>
        <w:rFonts w:hint="default"/>
      </w:rPr>
    </w:lvl>
    <w:lvl w:ilvl="1">
      <w:start w:val="1"/>
      <w:numFmt w:val="decimal"/>
      <w:isLgl/>
      <w:lvlText w:val="%1.%2"/>
      <w:lvlJc w:val="left"/>
      <w:pPr>
        <w:ind w:left="42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1E3D2FC5"/>
    <w:multiLevelType w:val="hybridMultilevel"/>
    <w:tmpl w:val="C876F17C"/>
    <w:lvl w:ilvl="0" w:tplc="33FCBD42">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2F713B7E"/>
    <w:multiLevelType w:val="hybridMultilevel"/>
    <w:tmpl w:val="074C4EB4"/>
    <w:lvl w:ilvl="0" w:tplc="33FCBD42">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33BF6AF9"/>
    <w:multiLevelType w:val="hybridMultilevel"/>
    <w:tmpl w:val="5E183A52"/>
    <w:lvl w:ilvl="0" w:tplc="33FCBD42">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34CE092F"/>
    <w:multiLevelType w:val="hybridMultilevel"/>
    <w:tmpl w:val="0672BA74"/>
    <w:lvl w:ilvl="0" w:tplc="33FCBD42">
      <w:start w:val="1"/>
      <w:numFmt w:val="bullet"/>
      <w:lvlText w:val=""/>
      <w:lvlJc w:val="left"/>
      <w:pPr>
        <w:ind w:left="720" w:hanging="360"/>
      </w:pPr>
      <w:rPr>
        <w:rFonts w:ascii="Symbol" w:hAnsi="Symbol" w:hint="default"/>
      </w:rPr>
    </w:lvl>
    <w:lvl w:ilvl="1" w:tplc="33FCBD42">
      <w:start w:val="1"/>
      <w:numFmt w:val="bullet"/>
      <w:lvlText w:val=""/>
      <w:lvlJc w:val="left"/>
      <w:pPr>
        <w:ind w:left="1440" w:hanging="360"/>
      </w:pPr>
      <w:rPr>
        <w:rFonts w:ascii="Symbol" w:hAnsi="Symbo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37F1454D"/>
    <w:multiLevelType w:val="hybridMultilevel"/>
    <w:tmpl w:val="F17CB916"/>
    <w:lvl w:ilvl="0" w:tplc="33FCBD42">
      <w:start w:val="1"/>
      <w:numFmt w:val="bullet"/>
      <w:lvlText w:val=""/>
      <w:lvlJc w:val="left"/>
      <w:pPr>
        <w:ind w:left="720" w:hanging="360"/>
      </w:pPr>
      <w:rPr>
        <w:rFonts w:ascii="Symbol" w:hAnsi="Symbol" w:hint="default"/>
      </w:rPr>
    </w:lvl>
    <w:lvl w:ilvl="1" w:tplc="067C4048">
      <w:numFmt w:val="bullet"/>
      <w:lvlText w:val="•"/>
      <w:lvlJc w:val="left"/>
      <w:pPr>
        <w:ind w:left="1440" w:hanging="360"/>
      </w:pPr>
      <w:rPr>
        <w:rFonts w:ascii="Calibri" w:eastAsiaTheme="minorHAnsi" w:hAnsi="Calibri" w:cstheme="minorBidi"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52E15979"/>
    <w:multiLevelType w:val="hybridMultilevel"/>
    <w:tmpl w:val="84A07EC2"/>
    <w:lvl w:ilvl="0" w:tplc="33FCBD42">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5792473D"/>
    <w:multiLevelType w:val="hybridMultilevel"/>
    <w:tmpl w:val="40068D46"/>
    <w:lvl w:ilvl="0" w:tplc="33FCBD42">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5FDB19A0"/>
    <w:multiLevelType w:val="multilevel"/>
    <w:tmpl w:val="48F2F69E"/>
    <w:lvl w:ilvl="0">
      <w:start w:val="1"/>
      <w:numFmt w:val="decimal"/>
      <w:pStyle w:val="Kop1"/>
      <w:lvlText w:val="%1"/>
      <w:lvlJc w:val="left"/>
      <w:pPr>
        <w:ind w:left="432" w:hanging="432"/>
      </w:pPr>
      <w:rPr>
        <w:rFonts w:hint="default"/>
      </w:rPr>
    </w:lvl>
    <w:lvl w:ilvl="1">
      <w:start w:val="1"/>
      <w:numFmt w:val="decimal"/>
      <w:pStyle w:val="Kop2"/>
      <w:lvlText w:val="%1.%2"/>
      <w:lvlJc w:val="left"/>
      <w:pPr>
        <w:ind w:left="576" w:hanging="576"/>
      </w:pPr>
      <w:rPr>
        <w:rFonts w:hint="default"/>
      </w:rPr>
    </w:lvl>
    <w:lvl w:ilvl="2">
      <w:start w:val="1"/>
      <w:numFmt w:val="decimal"/>
      <w:pStyle w:val="Kop3"/>
      <w:lvlText w:val="%1.%2.%3"/>
      <w:lvlJc w:val="left"/>
      <w:pPr>
        <w:ind w:left="720" w:hanging="720"/>
      </w:pPr>
      <w:rPr>
        <w:rFonts w:hint="default"/>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10" w15:restartNumberingAfterBreak="0">
    <w:nsid w:val="67EA56C0"/>
    <w:multiLevelType w:val="hybridMultilevel"/>
    <w:tmpl w:val="5784C2BA"/>
    <w:lvl w:ilvl="0" w:tplc="DB4EE4DA">
      <w:start w:val="1"/>
      <w:numFmt w:val="bullet"/>
      <w:pStyle w:val="Standaardopsomming1"/>
      <w:lvlText w:val="¬"/>
      <w:lvlJc w:val="left"/>
      <w:pPr>
        <w:ind w:left="4610" w:hanging="360"/>
      </w:pPr>
      <w:rPr>
        <w:rFonts w:ascii="Franklin Gothic Heavy" w:hAnsi="Franklin Gothic Heavy" w:hint="default"/>
        <w:sz w:val="24"/>
      </w:rPr>
    </w:lvl>
    <w:lvl w:ilvl="1" w:tplc="3880D7B4">
      <w:start w:val="1"/>
      <w:numFmt w:val="bullet"/>
      <w:lvlText w:val="¬"/>
      <w:lvlJc w:val="left"/>
      <w:pPr>
        <w:ind w:left="5690" w:hanging="360"/>
      </w:pPr>
      <w:rPr>
        <w:rFonts w:ascii="Franklin Gothic Heavy" w:hAnsi="Franklin Gothic Heavy" w:hint="default"/>
        <w:sz w:val="24"/>
      </w:rPr>
    </w:lvl>
    <w:lvl w:ilvl="2" w:tplc="08130005">
      <w:start w:val="1"/>
      <w:numFmt w:val="bullet"/>
      <w:lvlText w:val=""/>
      <w:lvlJc w:val="left"/>
      <w:pPr>
        <w:ind w:left="6410" w:hanging="360"/>
      </w:pPr>
      <w:rPr>
        <w:rFonts w:ascii="Wingdings" w:hAnsi="Wingdings" w:hint="default"/>
      </w:rPr>
    </w:lvl>
    <w:lvl w:ilvl="3" w:tplc="08130001">
      <w:start w:val="1"/>
      <w:numFmt w:val="bullet"/>
      <w:lvlText w:val=""/>
      <w:lvlJc w:val="left"/>
      <w:pPr>
        <w:ind w:left="7130" w:hanging="360"/>
      </w:pPr>
      <w:rPr>
        <w:rFonts w:ascii="Symbol" w:hAnsi="Symbol" w:hint="default"/>
      </w:rPr>
    </w:lvl>
    <w:lvl w:ilvl="4" w:tplc="08130003">
      <w:start w:val="1"/>
      <w:numFmt w:val="bullet"/>
      <w:lvlText w:val="o"/>
      <w:lvlJc w:val="left"/>
      <w:pPr>
        <w:ind w:left="7850" w:hanging="360"/>
      </w:pPr>
      <w:rPr>
        <w:rFonts w:ascii="Courier New" w:hAnsi="Courier New" w:cs="Courier New" w:hint="default"/>
      </w:rPr>
    </w:lvl>
    <w:lvl w:ilvl="5" w:tplc="08130005" w:tentative="1">
      <w:start w:val="1"/>
      <w:numFmt w:val="bullet"/>
      <w:lvlText w:val=""/>
      <w:lvlJc w:val="left"/>
      <w:pPr>
        <w:ind w:left="8570" w:hanging="360"/>
      </w:pPr>
      <w:rPr>
        <w:rFonts w:ascii="Wingdings" w:hAnsi="Wingdings" w:hint="default"/>
      </w:rPr>
    </w:lvl>
    <w:lvl w:ilvl="6" w:tplc="08130001" w:tentative="1">
      <w:start w:val="1"/>
      <w:numFmt w:val="bullet"/>
      <w:lvlText w:val=""/>
      <w:lvlJc w:val="left"/>
      <w:pPr>
        <w:ind w:left="9290" w:hanging="360"/>
      </w:pPr>
      <w:rPr>
        <w:rFonts w:ascii="Symbol" w:hAnsi="Symbol" w:hint="default"/>
      </w:rPr>
    </w:lvl>
    <w:lvl w:ilvl="7" w:tplc="08130003" w:tentative="1">
      <w:start w:val="1"/>
      <w:numFmt w:val="bullet"/>
      <w:lvlText w:val="o"/>
      <w:lvlJc w:val="left"/>
      <w:pPr>
        <w:ind w:left="10010" w:hanging="360"/>
      </w:pPr>
      <w:rPr>
        <w:rFonts w:ascii="Courier New" w:hAnsi="Courier New" w:cs="Courier New" w:hint="default"/>
      </w:rPr>
    </w:lvl>
    <w:lvl w:ilvl="8" w:tplc="08130005" w:tentative="1">
      <w:start w:val="1"/>
      <w:numFmt w:val="bullet"/>
      <w:lvlText w:val=""/>
      <w:lvlJc w:val="left"/>
      <w:pPr>
        <w:ind w:left="10730" w:hanging="360"/>
      </w:pPr>
      <w:rPr>
        <w:rFonts w:ascii="Wingdings" w:hAnsi="Wingdings" w:hint="default"/>
      </w:rPr>
    </w:lvl>
  </w:abstractNum>
  <w:abstractNum w:abstractNumId="11" w15:restartNumberingAfterBreak="0">
    <w:nsid w:val="68DA51C3"/>
    <w:multiLevelType w:val="hybridMultilevel"/>
    <w:tmpl w:val="E240614C"/>
    <w:lvl w:ilvl="0" w:tplc="33FCBD42">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6BED2F68"/>
    <w:multiLevelType w:val="multilevel"/>
    <w:tmpl w:val="7E2039A0"/>
    <w:lvl w:ilvl="0">
      <w:start w:val="1"/>
      <w:numFmt w:val="upperRoman"/>
      <w:lvlText w:val="%1."/>
      <w:lvlJc w:val="left"/>
      <w:pPr>
        <w:ind w:left="720" w:hanging="720"/>
      </w:pPr>
      <w:rPr>
        <w:rFonts w:hint="default"/>
      </w:rPr>
    </w:lvl>
    <w:lvl w:ilvl="1">
      <w:start w:val="2"/>
      <w:numFmt w:val="decimal"/>
      <w:isLgl/>
      <w:lvlText w:val="%1.%2"/>
      <w:lvlJc w:val="left"/>
      <w:pPr>
        <w:ind w:left="915" w:hanging="55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73A27046"/>
    <w:multiLevelType w:val="hybridMultilevel"/>
    <w:tmpl w:val="051EC350"/>
    <w:lvl w:ilvl="0" w:tplc="33FCBD42">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74B63E39"/>
    <w:multiLevelType w:val="hybridMultilevel"/>
    <w:tmpl w:val="3D00955A"/>
    <w:lvl w:ilvl="0" w:tplc="33FCBD42">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5" w15:restartNumberingAfterBreak="0">
    <w:nsid w:val="7B2F1760"/>
    <w:multiLevelType w:val="hybridMultilevel"/>
    <w:tmpl w:val="DE1430B4"/>
    <w:lvl w:ilvl="0" w:tplc="33FCBD42">
      <w:start w:val="1"/>
      <w:numFmt w:val="bullet"/>
      <w:lvlText w:val=""/>
      <w:lvlJc w:val="left"/>
      <w:pPr>
        <w:ind w:left="720" w:hanging="360"/>
      </w:pPr>
      <w:rPr>
        <w:rFonts w:ascii="Symbol" w:hAnsi="Symbol" w:hint="default"/>
      </w:rPr>
    </w:lvl>
    <w:lvl w:ilvl="1" w:tplc="33FCBD42">
      <w:start w:val="1"/>
      <w:numFmt w:val="bullet"/>
      <w:lvlText w:val=""/>
      <w:lvlJc w:val="left"/>
      <w:pPr>
        <w:ind w:left="1440" w:hanging="360"/>
      </w:pPr>
      <w:rPr>
        <w:rFonts w:ascii="Symbol" w:hAnsi="Symbo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10"/>
  </w:num>
  <w:num w:numId="4">
    <w:abstractNumId w:val="3"/>
  </w:num>
  <w:num w:numId="5">
    <w:abstractNumId w:val="14"/>
  </w:num>
  <w:num w:numId="6">
    <w:abstractNumId w:val="9"/>
  </w:num>
  <w:num w:numId="7">
    <w:abstractNumId w:val="0"/>
  </w:num>
  <w:num w:numId="8">
    <w:abstractNumId w:val="7"/>
  </w:num>
  <w:num w:numId="9">
    <w:abstractNumId w:val="9"/>
    <w:lvlOverride w:ilvl="0">
      <w:startOverride w:val="1"/>
    </w:lvlOverride>
  </w:num>
  <w:num w:numId="10">
    <w:abstractNumId w:val="8"/>
  </w:num>
  <w:num w:numId="11">
    <w:abstractNumId w:val="13"/>
  </w:num>
  <w:num w:numId="12">
    <w:abstractNumId w:val="6"/>
  </w:num>
  <w:num w:numId="13">
    <w:abstractNumId w:val="9"/>
    <w:lvlOverride w:ilvl="0">
      <w:startOverride w:val="3"/>
    </w:lvlOverride>
  </w:num>
  <w:num w:numId="14">
    <w:abstractNumId w:val="4"/>
  </w:num>
  <w:num w:numId="15">
    <w:abstractNumId w:val="9"/>
    <w:lvlOverride w:ilvl="0">
      <w:startOverride w:val="1"/>
    </w:lvlOverride>
  </w:num>
  <w:num w:numId="16">
    <w:abstractNumId w:val="11"/>
  </w:num>
  <w:num w:numId="17">
    <w:abstractNumId w:val="15"/>
  </w:num>
  <w:num w:numId="18">
    <w:abstractNumId w:val="2"/>
  </w:num>
  <w:num w:numId="19">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hdrShapeDefaults>
    <o:shapedefaults v:ext="edit" spidmax="4505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A23"/>
    <w:rsid w:val="000001BF"/>
    <w:rsid w:val="00012261"/>
    <w:rsid w:val="00083891"/>
    <w:rsid w:val="000B408C"/>
    <w:rsid w:val="000C2C87"/>
    <w:rsid w:val="000E358C"/>
    <w:rsid w:val="000F31B0"/>
    <w:rsid w:val="000F6ECA"/>
    <w:rsid w:val="00103812"/>
    <w:rsid w:val="0011491E"/>
    <w:rsid w:val="001502CF"/>
    <w:rsid w:val="00153AA2"/>
    <w:rsid w:val="00157121"/>
    <w:rsid w:val="00180AB8"/>
    <w:rsid w:val="001D45EA"/>
    <w:rsid w:val="001E2116"/>
    <w:rsid w:val="002005BF"/>
    <w:rsid w:val="00245496"/>
    <w:rsid w:val="00252C66"/>
    <w:rsid w:val="00280FD9"/>
    <w:rsid w:val="002870B6"/>
    <w:rsid w:val="002A14CC"/>
    <w:rsid w:val="002A2F9C"/>
    <w:rsid w:val="002B415B"/>
    <w:rsid w:val="002E59EE"/>
    <w:rsid w:val="003072A4"/>
    <w:rsid w:val="00312605"/>
    <w:rsid w:val="00350088"/>
    <w:rsid w:val="00351AB2"/>
    <w:rsid w:val="00360EE8"/>
    <w:rsid w:val="00371B86"/>
    <w:rsid w:val="00375AF6"/>
    <w:rsid w:val="00384582"/>
    <w:rsid w:val="00393784"/>
    <w:rsid w:val="003F5B0E"/>
    <w:rsid w:val="004170F5"/>
    <w:rsid w:val="00423AAF"/>
    <w:rsid w:val="0043296E"/>
    <w:rsid w:val="00443D4E"/>
    <w:rsid w:val="00476EB1"/>
    <w:rsid w:val="00484017"/>
    <w:rsid w:val="004C0FCB"/>
    <w:rsid w:val="004C1E0D"/>
    <w:rsid w:val="004D59B3"/>
    <w:rsid w:val="004E4BC2"/>
    <w:rsid w:val="004F207E"/>
    <w:rsid w:val="004F2C25"/>
    <w:rsid w:val="004F6CA1"/>
    <w:rsid w:val="00501C8C"/>
    <w:rsid w:val="00502206"/>
    <w:rsid w:val="00544F23"/>
    <w:rsid w:val="00566E76"/>
    <w:rsid w:val="00577CE4"/>
    <w:rsid w:val="0058272D"/>
    <w:rsid w:val="0059064C"/>
    <w:rsid w:val="005C0624"/>
    <w:rsid w:val="005C52C9"/>
    <w:rsid w:val="005D1FA9"/>
    <w:rsid w:val="00610227"/>
    <w:rsid w:val="00616DC7"/>
    <w:rsid w:val="0064135E"/>
    <w:rsid w:val="00652207"/>
    <w:rsid w:val="006559B1"/>
    <w:rsid w:val="00665881"/>
    <w:rsid w:val="00691CD6"/>
    <w:rsid w:val="0069572D"/>
    <w:rsid w:val="006D0D65"/>
    <w:rsid w:val="006E2592"/>
    <w:rsid w:val="00702EF8"/>
    <w:rsid w:val="007037E9"/>
    <w:rsid w:val="00707197"/>
    <w:rsid w:val="0072116E"/>
    <w:rsid w:val="007916DD"/>
    <w:rsid w:val="007A4137"/>
    <w:rsid w:val="007B166F"/>
    <w:rsid w:val="007B6B64"/>
    <w:rsid w:val="007E2BF5"/>
    <w:rsid w:val="007F09DE"/>
    <w:rsid w:val="008003FA"/>
    <w:rsid w:val="00816FDD"/>
    <w:rsid w:val="0082114C"/>
    <w:rsid w:val="0083516D"/>
    <w:rsid w:val="00873F0B"/>
    <w:rsid w:val="008A59C4"/>
    <w:rsid w:val="008B51B4"/>
    <w:rsid w:val="008D7BAD"/>
    <w:rsid w:val="008F0B76"/>
    <w:rsid w:val="009473A8"/>
    <w:rsid w:val="00950233"/>
    <w:rsid w:val="00953C92"/>
    <w:rsid w:val="00954862"/>
    <w:rsid w:val="00970D28"/>
    <w:rsid w:val="00975A29"/>
    <w:rsid w:val="00981548"/>
    <w:rsid w:val="009A133F"/>
    <w:rsid w:val="009C4A23"/>
    <w:rsid w:val="009D0BD2"/>
    <w:rsid w:val="00A05AC0"/>
    <w:rsid w:val="00A22EA7"/>
    <w:rsid w:val="00A342DB"/>
    <w:rsid w:val="00A57789"/>
    <w:rsid w:val="00A767AE"/>
    <w:rsid w:val="00A82454"/>
    <w:rsid w:val="00A973A6"/>
    <w:rsid w:val="00AB322A"/>
    <w:rsid w:val="00AC04B2"/>
    <w:rsid w:val="00AC5644"/>
    <w:rsid w:val="00AD4976"/>
    <w:rsid w:val="00B067D8"/>
    <w:rsid w:val="00B67126"/>
    <w:rsid w:val="00B873C2"/>
    <w:rsid w:val="00B87F95"/>
    <w:rsid w:val="00C16E2F"/>
    <w:rsid w:val="00C170C0"/>
    <w:rsid w:val="00C2654E"/>
    <w:rsid w:val="00C27562"/>
    <w:rsid w:val="00C551AA"/>
    <w:rsid w:val="00C77F18"/>
    <w:rsid w:val="00C82266"/>
    <w:rsid w:val="00C83E57"/>
    <w:rsid w:val="00CB2387"/>
    <w:rsid w:val="00CD5B79"/>
    <w:rsid w:val="00CE4F98"/>
    <w:rsid w:val="00CF33EC"/>
    <w:rsid w:val="00D01F70"/>
    <w:rsid w:val="00D020C9"/>
    <w:rsid w:val="00D4036E"/>
    <w:rsid w:val="00D40E70"/>
    <w:rsid w:val="00D6276E"/>
    <w:rsid w:val="00D70DC4"/>
    <w:rsid w:val="00D75587"/>
    <w:rsid w:val="00D80D5B"/>
    <w:rsid w:val="00DA0BEC"/>
    <w:rsid w:val="00DB5C3F"/>
    <w:rsid w:val="00DE4821"/>
    <w:rsid w:val="00DF2FB8"/>
    <w:rsid w:val="00DF6A46"/>
    <w:rsid w:val="00E3019A"/>
    <w:rsid w:val="00E344F9"/>
    <w:rsid w:val="00E44461"/>
    <w:rsid w:val="00E90D9E"/>
    <w:rsid w:val="00EC024C"/>
    <w:rsid w:val="00F112E1"/>
    <w:rsid w:val="00F22042"/>
    <w:rsid w:val="00F266BE"/>
    <w:rsid w:val="00F328B6"/>
    <w:rsid w:val="00F41FED"/>
    <w:rsid w:val="00F70054"/>
    <w:rsid w:val="00F74945"/>
    <w:rsid w:val="00F96A8F"/>
    <w:rsid w:val="00FB4B33"/>
    <w:rsid w:val="00FB7FC3"/>
    <w:rsid w:val="00FC55B6"/>
    <w:rsid w:val="00FF334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336017D7"/>
  <w15:docId w15:val="{3367FDEB-5B54-4818-9BC4-DCB5B22FE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B2387"/>
  </w:style>
  <w:style w:type="paragraph" w:styleId="Kop1">
    <w:name w:val="heading 1"/>
    <w:basedOn w:val="Standaard"/>
    <w:next w:val="Standaard"/>
    <w:link w:val="Kop1Char"/>
    <w:uiPriority w:val="9"/>
    <w:qFormat/>
    <w:rsid w:val="00245496"/>
    <w:pPr>
      <w:keepNext/>
      <w:keepLines/>
      <w:numPr>
        <w:numId w:val="6"/>
      </w:numPr>
      <w:spacing w:before="480" w:after="0"/>
      <w:outlineLvl w:val="0"/>
    </w:pPr>
    <w:rPr>
      <w:rFonts w:asciiTheme="majorHAnsi" w:eastAsiaTheme="majorEastAsia" w:hAnsiTheme="majorHAnsi" w:cstheme="majorBidi"/>
      <w:b/>
      <w:bCs/>
      <w:color w:val="365F91" w:themeColor="accent1" w:themeShade="BF"/>
      <w:sz w:val="28"/>
      <w:szCs w:val="28"/>
      <w:lang w:val="en-GB" w:eastAsia="en-GB"/>
    </w:rPr>
  </w:style>
  <w:style w:type="paragraph" w:styleId="Kop2">
    <w:name w:val="heading 2"/>
    <w:basedOn w:val="Standaard"/>
    <w:next w:val="Standaard"/>
    <w:link w:val="Kop2Char"/>
    <w:uiPriority w:val="9"/>
    <w:unhideWhenUsed/>
    <w:qFormat/>
    <w:rsid w:val="00245496"/>
    <w:pPr>
      <w:keepNext/>
      <w:keepLines/>
      <w:numPr>
        <w:ilvl w:val="1"/>
        <w:numId w:val="6"/>
      </w:numPr>
      <w:spacing w:before="200" w:after="0"/>
      <w:outlineLvl w:val="1"/>
    </w:pPr>
    <w:rPr>
      <w:rFonts w:asciiTheme="majorHAnsi" w:eastAsiaTheme="majorEastAsia" w:hAnsiTheme="majorHAnsi" w:cstheme="majorBidi"/>
      <w:b/>
      <w:bCs/>
      <w:color w:val="4F81BD" w:themeColor="accent1"/>
      <w:sz w:val="26"/>
      <w:szCs w:val="26"/>
      <w:lang w:val="en-GB" w:eastAsia="en-GB"/>
    </w:rPr>
  </w:style>
  <w:style w:type="paragraph" w:styleId="Kop3">
    <w:name w:val="heading 3"/>
    <w:basedOn w:val="Standaard"/>
    <w:next w:val="Standaard"/>
    <w:link w:val="Kop3Char"/>
    <w:uiPriority w:val="9"/>
    <w:unhideWhenUsed/>
    <w:qFormat/>
    <w:rsid w:val="00CD5B79"/>
    <w:pPr>
      <w:keepNext/>
      <w:keepLines/>
      <w:numPr>
        <w:ilvl w:val="2"/>
        <w:numId w:val="6"/>
      </w:numPr>
      <w:spacing w:before="200" w:after="0"/>
      <w:outlineLvl w:val="2"/>
    </w:pPr>
    <w:rPr>
      <w:rFonts w:asciiTheme="majorHAnsi" w:eastAsiaTheme="majorEastAsia" w:hAnsiTheme="majorHAnsi" w:cstheme="majorBidi"/>
      <w:b/>
      <w:bCs/>
      <w:color w:val="4F81BD" w:themeColor="accent1"/>
      <w:lang w:val="en-GB" w:eastAsia="en-GB"/>
    </w:rPr>
  </w:style>
  <w:style w:type="paragraph" w:styleId="Kop4">
    <w:name w:val="heading 4"/>
    <w:basedOn w:val="Standaard"/>
    <w:next w:val="Standaard"/>
    <w:link w:val="Kop4Char"/>
    <w:uiPriority w:val="9"/>
    <w:unhideWhenUsed/>
    <w:qFormat/>
    <w:rsid w:val="00245496"/>
    <w:pPr>
      <w:keepNext/>
      <w:keepLines/>
      <w:numPr>
        <w:ilvl w:val="3"/>
        <w:numId w:val="6"/>
      </w:numPr>
      <w:spacing w:before="200" w:after="0"/>
      <w:outlineLvl w:val="3"/>
    </w:pPr>
    <w:rPr>
      <w:rFonts w:asciiTheme="majorHAnsi" w:eastAsiaTheme="majorEastAsia" w:hAnsiTheme="majorHAnsi" w:cstheme="majorBidi"/>
      <w:b/>
      <w:bCs/>
      <w:i/>
      <w:iCs/>
      <w:color w:val="4F81BD" w:themeColor="accent1"/>
      <w:lang w:val="en-GB" w:eastAsia="en-GB"/>
    </w:rPr>
  </w:style>
  <w:style w:type="paragraph" w:styleId="Kop5">
    <w:name w:val="heading 5"/>
    <w:basedOn w:val="Standaard"/>
    <w:next w:val="Standaard"/>
    <w:link w:val="Kop5Char"/>
    <w:uiPriority w:val="9"/>
    <w:semiHidden/>
    <w:unhideWhenUsed/>
    <w:qFormat/>
    <w:rsid w:val="00245496"/>
    <w:pPr>
      <w:keepNext/>
      <w:keepLines/>
      <w:numPr>
        <w:ilvl w:val="4"/>
        <w:numId w:val="6"/>
      </w:numPr>
      <w:spacing w:before="200" w:after="0"/>
      <w:outlineLvl w:val="4"/>
    </w:pPr>
    <w:rPr>
      <w:rFonts w:asciiTheme="majorHAnsi" w:eastAsiaTheme="majorEastAsia" w:hAnsiTheme="majorHAnsi" w:cstheme="majorBidi"/>
      <w:color w:val="243F60" w:themeColor="accent1" w:themeShade="7F"/>
      <w:lang w:val="en-GB" w:eastAsia="en-GB"/>
    </w:rPr>
  </w:style>
  <w:style w:type="paragraph" w:styleId="Kop6">
    <w:name w:val="heading 6"/>
    <w:basedOn w:val="Standaard"/>
    <w:next w:val="Standaard"/>
    <w:link w:val="Kop6Char"/>
    <w:uiPriority w:val="9"/>
    <w:semiHidden/>
    <w:unhideWhenUsed/>
    <w:qFormat/>
    <w:rsid w:val="00245496"/>
    <w:pPr>
      <w:keepNext/>
      <w:keepLines/>
      <w:numPr>
        <w:ilvl w:val="5"/>
        <w:numId w:val="6"/>
      </w:numPr>
      <w:spacing w:before="200" w:after="0"/>
      <w:outlineLvl w:val="5"/>
    </w:pPr>
    <w:rPr>
      <w:rFonts w:asciiTheme="majorHAnsi" w:eastAsiaTheme="majorEastAsia" w:hAnsiTheme="majorHAnsi" w:cstheme="majorBidi"/>
      <w:i/>
      <w:iCs/>
      <w:color w:val="243F60" w:themeColor="accent1" w:themeShade="7F"/>
      <w:lang w:val="en-GB" w:eastAsia="en-GB"/>
    </w:rPr>
  </w:style>
  <w:style w:type="paragraph" w:styleId="Kop7">
    <w:name w:val="heading 7"/>
    <w:basedOn w:val="Standaard"/>
    <w:next w:val="Standaard"/>
    <w:link w:val="Kop7Char"/>
    <w:uiPriority w:val="9"/>
    <w:semiHidden/>
    <w:unhideWhenUsed/>
    <w:qFormat/>
    <w:rsid w:val="00245496"/>
    <w:pPr>
      <w:keepNext/>
      <w:keepLines/>
      <w:numPr>
        <w:ilvl w:val="6"/>
        <w:numId w:val="6"/>
      </w:numPr>
      <w:spacing w:before="200" w:after="0"/>
      <w:outlineLvl w:val="6"/>
    </w:pPr>
    <w:rPr>
      <w:rFonts w:asciiTheme="majorHAnsi" w:eastAsiaTheme="majorEastAsia" w:hAnsiTheme="majorHAnsi" w:cstheme="majorBidi"/>
      <w:i/>
      <w:iCs/>
      <w:color w:val="404040" w:themeColor="text1" w:themeTint="BF"/>
      <w:lang w:val="en-GB" w:eastAsia="en-GB"/>
    </w:rPr>
  </w:style>
  <w:style w:type="paragraph" w:styleId="Kop8">
    <w:name w:val="heading 8"/>
    <w:basedOn w:val="Standaard"/>
    <w:next w:val="Standaard"/>
    <w:link w:val="Kop8Char"/>
    <w:uiPriority w:val="9"/>
    <w:semiHidden/>
    <w:unhideWhenUsed/>
    <w:qFormat/>
    <w:rsid w:val="00245496"/>
    <w:pPr>
      <w:keepNext/>
      <w:keepLines/>
      <w:numPr>
        <w:ilvl w:val="7"/>
        <w:numId w:val="6"/>
      </w:numPr>
      <w:spacing w:before="200" w:after="0"/>
      <w:outlineLvl w:val="7"/>
    </w:pPr>
    <w:rPr>
      <w:rFonts w:asciiTheme="majorHAnsi" w:eastAsiaTheme="majorEastAsia" w:hAnsiTheme="majorHAnsi" w:cstheme="majorBidi"/>
      <w:color w:val="404040" w:themeColor="text1" w:themeTint="BF"/>
      <w:sz w:val="20"/>
      <w:szCs w:val="20"/>
      <w:lang w:val="en-GB" w:eastAsia="en-GB"/>
    </w:rPr>
  </w:style>
  <w:style w:type="paragraph" w:styleId="Kop9">
    <w:name w:val="heading 9"/>
    <w:basedOn w:val="Standaard"/>
    <w:next w:val="Standaard"/>
    <w:link w:val="Kop9Char"/>
    <w:uiPriority w:val="9"/>
    <w:semiHidden/>
    <w:unhideWhenUsed/>
    <w:qFormat/>
    <w:rsid w:val="00245496"/>
    <w:pPr>
      <w:keepNext/>
      <w:keepLines/>
      <w:numPr>
        <w:ilvl w:val="8"/>
        <w:numId w:val="6"/>
      </w:numPr>
      <w:spacing w:before="200" w:after="0"/>
      <w:outlineLvl w:val="8"/>
    </w:pPr>
    <w:rPr>
      <w:rFonts w:asciiTheme="majorHAnsi" w:eastAsiaTheme="majorEastAsia" w:hAnsiTheme="majorHAnsi" w:cstheme="majorBidi"/>
      <w:i/>
      <w:iCs/>
      <w:color w:val="404040" w:themeColor="text1" w:themeTint="BF"/>
      <w:sz w:val="20"/>
      <w:szCs w:val="20"/>
      <w:lang w:val="en-GB" w:eastAsia="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3296E"/>
    <w:pPr>
      <w:ind w:left="720"/>
      <w:contextualSpacing/>
    </w:pPr>
  </w:style>
  <w:style w:type="paragraph" w:styleId="Koptekst">
    <w:name w:val="header"/>
    <w:basedOn w:val="Standaard"/>
    <w:link w:val="KoptekstChar"/>
    <w:uiPriority w:val="99"/>
    <w:unhideWhenUsed/>
    <w:rsid w:val="0024549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45496"/>
  </w:style>
  <w:style w:type="paragraph" w:styleId="Voettekst">
    <w:name w:val="footer"/>
    <w:basedOn w:val="Standaard"/>
    <w:link w:val="VoettekstChar"/>
    <w:uiPriority w:val="99"/>
    <w:unhideWhenUsed/>
    <w:rsid w:val="0024549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45496"/>
  </w:style>
  <w:style w:type="character" w:customStyle="1" w:styleId="Kop1Char">
    <w:name w:val="Kop 1 Char"/>
    <w:basedOn w:val="Standaardalinea-lettertype"/>
    <w:link w:val="Kop1"/>
    <w:uiPriority w:val="9"/>
    <w:rsid w:val="00245496"/>
    <w:rPr>
      <w:rFonts w:asciiTheme="majorHAnsi" w:eastAsiaTheme="majorEastAsia" w:hAnsiTheme="majorHAnsi" w:cstheme="majorBidi"/>
      <w:b/>
      <w:bCs/>
      <w:color w:val="365F91" w:themeColor="accent1" w:themeShade="BF"/>
      <w:sz w:val="28"/>
      <w:szCs w:val="28"/>
      <w:lang w:val="en-GB" w:eastAsia="en-GB"/>
    </w:rPr>
  </w:style>
  <w:style w:type="character" w:customStyle="1" w:styleId="Kop2Char">
    <w:name w:val="Kop 2 Char"/>
    <w:basedOn w:val="Standaardalinea-lettertype"/>
    <w:link w:val="Kop2"/>
    <w:uiPriority w:val="9"/>
    <w:rsid w:val="00245496"/>
    <w:rPr>
      <w:rFonts w:asciiTheme="majorHAnsi" w:eastAsiaTheme="majorEastAsia" w:hAnsiTheme="majorHAnsi" w:cstheme="majorBidi"/>
      <w:b/>
      <w:bCs/>
      <w:color w:val="4F81BD" w:themeColor="accent1"/>
      <w:sz w:val="26"/>
      <w:szCs w:val="26"/>
      <w:lang w:val="en-GB" w:eastAsia="en-GB"/>
    </w:rPr>
  </w:style>
  <w:style w:type="character" w:customStyle="1" w:styleId="Kop3Char">
    <w:name w:val="Kop 3 Char"/>
    <w:basedOn w:val="Standaardalinea-lettertype"/>
    <w:link w:val="Kop3"/>
    <w:uiPriority w:val="9"/>
    <w:rsid w:val="00CD5B79"/>
    <w:rPr>
      <w:rFonts w:asciiTheme="majorHAnsi" w:eastAsiaTheme="majorEastAsia" w:hAnsiTheme="majorHAnsi" w:cstheme="majorBidi"/>
      <w:b/>
      <w:bCs/>
      <w:color w:val="4F81BD" w:themeColor="accent1"/>
      <w:lang w:val="en-GB" w:eastAsia="en-GB"/>
    </w:rPr>
  </w:style>
  <w:style w:type="character" w:customStyle="1" w:styleId="Kop4Char">
    <w:name w:val="Kop 4 Char"/>
    <w:basedOn w:val="Standaardalinea-lettertype"/>
    <w:link w:val="Kop4"/>
    <w:uiPriority w:val="9"/>
    <w:rsid w:val="00245496"/>
    <w:rPr>
      <w:rFonts w:asciiTheme="majorHAnsi" w:eastAsiaTheme="majorEastAsia" w:hAnsiTheme="majorHAnsi" w:cstheme="majorBidi"/>
      <w:b/>
      <w:bCs/>
      <w:i/>
      <w:iCs/>
      <w:color w:val="4F81BD" w:themeColor="accent1"/>
      <w:lang w:val="en-GB" w:eastAsia="en-GB"/>
    </w:rPr>
  </w:style>
  <w:style w:type="character" w:customStyle="1" w:styleId="Kop5Char">
    <w:name w:val="Kop 5 Char"/>
    <w:basedOn w:val="Standaardalinea-lettertype"/>
    <w:link w:val="Kop5"/>
    <w:uiPriority w:val="9"/>
    <w:semiHidden/>
    <w:rsid w:val="00245496"/>
    <w:rPr>
      <w:rFonts w:asciiTheme="majorHAnsi" w:eastAsiaTheme="majorEastAsia" w:hAnsiTheme="majorHAnsi" w:cstheme="majorBidi"/>
      <w:color w:val="243F60" w:themeColor="accent1" w:themeShade="7F"/>
      <w:lang w:val="en-GB" w:eastAsia="en-GB"/>
    </w:rPr>
  </w:style>
  <w:style w:type="character" w:customStyle="1" w:styleId="Kop6Char">
    <w:name w:val="Kop 6 Char"/>
    <w:basedOn w:val="Standaardalinea-lettertype"/>
    <w:link w:val="Kop6"/>
    <w:uiPriority w:val="9"/>
    <w:semiHidden/>
    <w:rsid w:val="00245496"/>
    <w:rPr>
      <w:rFonts w:asciiTheme="majorHAnsi" w:eastAsiaTheme="majorEastAsia" w:hAnsiTheme="majorHAnsi" w:cstheme="majorBidi"/>
      <w:i/>
      <w:iCs/>
      <w:color w:val="243F60" w:themeColor="accent1" w:themeShade="7F"/>
      <w:lang w:val="en-GB" w:eastAsia="en-GB"/>
    </w:rPr>
  </w:style>
  <w:style w:type="character" w:customStyle="1" w:styleId="Kop7Char">
    <w:name w:val="Kop 7 Char"/>
    <w:basedOn w:val="Standaardalinea-lettertype"/>
    <w:link w:val="Kop7"/>
    <w:uiPriority w:val="9"/>
    <w:semiHidden/>
    <w:rsid w:val="00245496"/>
    <w:rPr>
      <w:rFonts w:asciiTheme="majorHAnsi" w:eastAsiaTheme="majorEastAsia" w:hAnsiTheme="majorHAnsi" w:cstheme="majorBidi"/>
      <w:i/>
      <w:iCs/>
      <w:color w:val="404040" w:themeColor="text1" w:themeTint="BF"/>
      <w:lang w:val="en-GB" w:eastAsia="en-GB"/>
    </w:rPr>
  </w:style>
  <w:style w:type="character" w:customStyle="1" w:styleId="Kop8Char">
    <w:name w:val="Kop 8 Char"/>
    <w:basedOn w:val="Standaardalinea-lettertype"/>
    <w:link w:val="Kop8"/>
    <w:uiPriority w:val="9"/>
    <w:semiHidden/>
    <w:rsid w:val="00245496"/>
    <w:rPr>
      <w:rFonts w:asciiTheme="majorHAnsi" w:eastAsiaTheme="majorEastAsia" w:hAnsiTheme="majorHAnsi" w:cstheme="majorBidi"/>
      <w:color w:val="404040" w:themeColor="text1" w:themeTint="BF"/>
      <w:sz w:val="20"/>
      <w:szCs w:val="20"/>
      <w:lang w:val="en-GB" w:eastAsia="en-GB"/>
    </w:rPr>
  </w:style>
  <w:style w:type="character" w:customStyle="1" w:styleId="Kop9Char">
    <w:name w:val="Kop 9 Char"/>
    <w:basedOn w:val="Standaardalinea-lettertype"/>
    <w:link w:val="Kop9"/>
    <w:uiPriority w:val="9"/>
    <w:semiHidden/>
    <w:rsid w:val="00245496"/>
    <w:rPr>
      <w:rFonts w:asciiTheme="majorHAnsi" w:eastAsiaTheme="majorEastAsia" w:hAnsiTheme="majorHAnsi" w:cstheme="majorBidi"/>
      <w:i/>
      <w:iCs/>
      <w:color w:val="404040" w:themeColor="text1" w:themeTint="BF"/>
      <w:sz w:val="20"/>
      <w:szCs w:val="20"/>
      <w:lang w:val="en-GB" w:eastAsia="en-GB"/>
    </w:rPr>
  </w:style>
  <w:style w:type="paragraph" w:styleId="Titel">
    <w:name w:val="Title"/>
    <w:basedOn w:val="Standaard"/>
    <w:next w:val="Standaard"/>
    <w:link w:val="TitelChar"/>
    <w:autoRedefine/>
    <w:qFormat/>
    <w:rsid w:val="00CF33EC"/>
    <w:pPr>
      <w:keepNext/>
      <w:keepLines/>
      <w:spacing w:before="240" w:after="240" w:line="280" w:lineRule="exact"/>
      <w:jc w:val="center"/>
    </w:pPr>
    <w:rPr>
      <w:rFonts w:ascii="Verdana" w:eastAsia="Times New Roman" w:hAnsi="Verdana" w:cs="Times New Roman"/>
      <w:b/>
      <w:color w:val="33CCCC"/>
      <w:kern w:val="28"/>
      <w:sz w:val="24"/>
      <w:szCs w:val="24"/>
      <w:lang w:val="en-GB" w:eastAsia="nl-NL"/>
    </w:rPr>
  </w:style>
  <w:style w:type="character" w:customStyle="1" w:styleId="TitelChar">
    <w:name w:val="Titel Char"/>
    <w:basedOn w:val="Standaardalinea-lettertype"/>
    <w:link w:val="Titel"/>
    <w:rsid w:val="00CF33EC"/>
    <w:rPr>
      <w:rFonts w:ascii="Verdana" w:eastAsia="Times New Roman" w:hAnsi="Verdana" w:cs="Times New Roman"/>
      <w:b/>
      <w:color w:val="33CCCC"/>
      <w:kern w:val="28"/>
      <w:sz w:val="24"/>
      <w:szCs w:val="24"/>
      <w:lang w:val="en-GB" w:eastAsia="nl-NL"/>
    </w:rPr>
  </w:style>
  <w:style w:type="character" w:styleId="Hyperlink">
    <w:name w:val="Hyperlink"/>
    <w:basedOn w:val="Standaardalinea-lettertype"/>
    <w:uiPriority w:val="99"/>
    <w:unhideWhenUsed/>
    <w:rsid w:val="00245496"/>
    <w:rPr>
      <w:color w:val="0000FF" w:themeColor="hyperlink"/>
      <w:u w:val="single"/>
    </w:rPr>
  </w:style>
  <w:style w:type="character" w:styleId="GevolgdeHyperlink">
    <w:name w:val="FollowedHyperlink"/>
    <w:basedOn w:val="Standaardalinea-lettertype"/>
    <w:uiPriority w:val="99"/>
    <w:semiHidden/>
    <w:unhideWhenUsed/>
    <w:rsid w:val="004C1E0D"/>
    <w:rPr>
      <w:color w:val="800080" w:themeColor="followedHyperlink"/>
      <w:u w:val="single"/>
    </w:rPr>
  </w:style>
  <w:style w:type="paragraph" w:styleId="Ballontekst">
    <w:name w:val="Balloon Text"/>
    <w:basedOn w:val="Standaard"/>
    <w:link w:val="BallontekstChar"/>
    <w:uiPriority w:val="99"/>
    <w:semiHidden/>
    <w:unhideWhenUsed/>
    <w:rsid w:val="002B415B"/>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B415B"/>
    <w:rPr>
      <w:rFonts w:ascii="Segoe UI" w:hAnsi="Segoe UI" w:cs="Segoe UI"/>
      <w:sz w:val="18"/>
      <w:szCs w:val="18"/>
    </w:rPr>
  </w:style>
  <w:style w:type="paragraph" w:customStyle="1" w:styleId="Standaardopsomming1">
    <w:name w:val="Standaard opsomming1"/>
    <w:basedOn w:val="Lijstalinea"/>
    <w:qFormat/>
    <w:rsid w:val="00EC024C"/>
    <w:pPr>
      <w:numPr>
        <w:numId w:val="3"/>
      </w:numPr>
      <w:tabs>
        <w:tab w:val="left" w:pos="567"/>
      </w:tabs>
      <w:spacing w:after="0" w:line="280" w:lineRule="exact"/>
      <w:ind w:left="567" w:hanging="567"/>
    </w:pPr>
    <w:rPr>
      <w:rFonts w:ascii="Franklin Gothic Book" w:eastAsia="Times New Roman" w:hAnsi="Franklin Gothic Book" w:cs="Times New Roman"/>
      <w:sz w:val="20"/>
      <w:szCs w:val="24"/>
      <w:lang w:val="nl-BE" w:eastAsia="nl-NL"/>
    </w:rPr>
  </w:style>
  <w:style w:type="table" w:styleId="Tabelraster">
    <w:name w:val="Table Grid"/>
    <w:basedOn w:val="Standaardtabel"/>
    <w:uiPriority w:val="59"/>
    <w:rsid w:val="001502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s">
    <w:name w:val="basis"/>
    <w:basedOn w:val="Standaard"/>
    <w:autoRedefine/>
    <w:rsid w:val="0082114C"/>
    <w:pPr>
      <w:spacing w:after="120" w:line="240" w:lineRule="auto"/>
    </w:pPr>
    <w:rPr>
      <w:rFonts w:ascii="Verdana" w:eastAsia="Times New Roman" w:hAnsi="Verdana" w:cs="Arial"/>
      <w:bCs/>
      <w:color w:val="000000"/>
      <w:sz w:val="20"/>
      <w:lang w:val="en-US" w:eastAsia="nl-NL"/>
    </w:rPr>
  </w:style>
  <w:style w:type="character" w:styleId="Verwijzingopmerking">
    <w:name w:val="annotation reference"/>
    <w:basedOn w:val="Standaardalinea-lettertype"/>
    <w:uiPriority w:val="99"/>
    <w:semiHidden/>
    <w:unhideWhenUsed/>
    <w:rsid w:val="00AD4976"/>
    <w:rPr>
      <w:sz w:val="16"/>
      <w:szCs w:val="16"/>
    </w:rPr>
  </w:style>
  <w:style w:type="paragraph" w:styleId="Tekstopmerking">
    <w:name w:val="annotation text"/>
    <w:basedOn w:val="Standaard"/>
    <w:link w:val="TekstopmerkingChar"/>
    <w:uiPriority w:val="99"/>
    <w:semiHidden/>
    <w:unhideWhenUsed/>
    <w:rsid w:val="00AD4976"/>
    <w:pPr>
      <w:spacing w:after="160" w:line="240" w:lineRule="auto"/>
    </w:pPr>
    <w:rPr>
      <w:sz w:val="20"/>
      <w:szCs w:val="20"/>
      <w:lang w:val="nl-BE"/>
    </w:rPr>
  </w:style>
  <w:style w:type="character" w:customStyle="1" w:styleId="TekstopmerkingChar">
    <w:name w:val="Tekst opmerking Char"/>
    <w:basedOn w:val="Standaardalinea-lettertype"/>
    <w:link w:val="Tekstopmerking"/>
    <w:uiPriority w:val="99"/>
    <w:semiHidden/>
    <w:rsid w:val="00AD4976"/>
    <w:rPr>
      <w:sz w:val="20"/>
      <w:szCs w:val="20"/>
      <w:lang w:val="nl-BE"/>
    </w:rPr>
  </w:style>
  <w:style w:type="character" w:styleId="Zwaar">
    <w:name w:val="Strong"/>
    <w:basedOn w:val="Standaardalinea-lettertype"/>
    <w:uiPriority w:val="22"/>
    <w:qFormat/>
    <w:rsid w:val="00A05AC0"/>
    <w:rPr>
      <w:b/>
      <w:bCs/>
    </w:rPr>
  </w:style>
  <w:style w:type="paragraph" w:styleId="Normaalweb">
    <w:name w:val="Normal (Web)"/>
    <w:basedOn w:val="Standaard"/>
    <w:uiPriority w:val="99"/>
    <w:unhideWhenUsed/>
    <w:rsid w:val="00A05AC0"/>
    <w:pPr>
      <w:spacing w:before="100" w:beforeAutospacing="1" w:after="300" w:line="240" w:lineRule="auto"/>
    </w:pPr>
    <w:rPr>
      <w:rFonts w:ascii="Times New Roman" w:eastAsia="Times New Roman" w:hAnsi="Times New Roman" w:cs="Times New Roman"/>
      <w:sz w:val="24"/>
      <w:szCs w:val="24"/>
      <w:lang w:val="nl-BE" w:eastAsia="nl-BE"/>
    </w:rPr>
  </w:style>
  <w:style w:type="paragraph" w:styleId="Kopvaninhoudsopgave">
    <w:name w:val="TOC Heading"/>
    <w:basedOn w:val="Kop1"/>
    <w:next w:val="Standaard"/>
    <w:uiPriority w:val="39"/>
    <w:unhideWhenUsed/>
    <w:qFormat/>
    <w:rsid w:val="00DF6A46"/>
    <w:pPr>
      <w:numPr>
        <w:numId w:val="0"/>
      </w:numPr>
      <w:spacing w:before="240" w:line="259" w:lineRule="auto"/>
      <w:outlineLvl w:val="9"/>
    </w:pPr>
    <w:rPr>
      <w:b w:val="0"/>
      <w:bCs w:val="0"/>
      <w:sz w:val="32"/>
      <w:szCs w:val="32"/>
      <w:lang w:val="nl-BE" w:eastAsia="nl-BE"/>
    </w:rPr>
  </w:style>
  <w:style w:type="paragraph" w:styleId="Inhopg1">
    <w:name w:val="toc 1"/>
    <w:basedOn w:val="Standaard"/>
    <w:next w:val="Standaard"/>
    <w:autoRedefine/>
    <w:uiPriority w:val="39"/>
    <w:unhideWhenUsed/>
    <w:rsid w:val="00DF6A46"/>
    <w:pPr>
      <w:spacing w:after="100"/>
    </w:pPr>
  </w:style>
  <w:style w:type="paragraph" w:styleId="Inhopg2">
    <w:name w:val="toc 2"/>
    <w:basedOn w:val="Standaard"/>
    <w:next w:val="Standaard"/>
    <w:autoRedefine/>
    <w:uiPriority w:val="39"/>
    <w:unhideWhenUsed/>
    <w:rsid w:val="00DF6A46"/>
    <w:pPr>
      <w:spacing w:after="100"/>
      <w:ind w:left="220"/>
    </w:pPr>
  </w:style>
  <w:style w:type="paragraph" w:styleId="Inhopg3">
    <w:name w:val="toc 3"/>
    <w:basedOn w:val="Standaard"/>
    <w:next w:val="Standaard"/>
    <w:autoRedefine/>
    <w:uiPriority w:val="39"/>
    <w:unhideWhenUsed/>
    <w:rsid w:val="00DF6A46"/>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384891">
      <w:bodyDiv w:val="1"/>
      <w:marLeft w:val="0"/>
      <w:marRight w:val="0"/>
      <w:marTop w:val="0"/>
      <w:marBottom w:val="0"/>
      <w:divBdr>
        <w:top w:val="none" w:sz="0" w:space="0" w:color="auto"/>
        <w:left w:val="none" w:sz="0" w:space="0" w:color="auto"/>
        <w:bottom w:val="none" w:sz="0" w:space="0" w:color="auto"/>
        <w:right w:val="none" w:sz="0" w:space="0" w:color="auto"/>
      </w:divBdr>
      <w:divsChild>
        <w:div w:id="1245071835">
          <w:marLeft w:val="0"/>
          <w:marRight w:val="0"/>
          <w:marTop w:val="0"/>
          <w:marBottom w:val="0"/>
          <w:divBdr>
            <w:top w:val="none" w:sz="0" w:space="0" w:color="auto"/>
            <w:left w:val="none" w:sz="0" w:space="0" w:color="auto"/>
            <w:bottom w:val="none" w:sz="0" w:space="0" w:color="auto"/>
            <w:right w:val="none" w:sz="0" w:space="0" w:color="auto"/>
          </w:divBdr>
          <w:divsChild>
            <w:div w:id="1872648984">
              <w:marLeft w:val="0"/>
              <w:marRight w:val="0"/>
              <w:marTop w:val="0"/>
              <w:marBottom w:val="0"/>
              <w:divBdr>
                <w:top w:val="none" w:sz="0" w:space="0" w:color="auto"/>
                <w:left w:val="none" w:sz="0" w:space="0" w:color="auto"/>
                <w:bottom w:val="none" w:sz="0" w:space="0" w:color="auto"/>
                <w:right w:val="none" w:sz="0" w:space="0" w:color="auto"/>
              </w:divBdr>
              <w:divsChild>
                <w:div w:id="1127817278">
                  <w:marLeft w:val="0"/>
                  <w:marRight w:val="0"/>
                  <w:marTop w:val="0"/>
                  <w:marBottom w:val="0"/>
                  <w:divBdr>
                    <w:top w:val="none" w:sz="0" w:space="0" w:color="auto"/>
                    <w:left w:val="none" w:sz="0" w:space="0" w:color="auto"/>
                    <w:bottom w:val="none" w:sz="0" w:space="0" w:color="auto"/>
                    <w:right w:val="none" w:sz="0" w:space="0" w:color="auto"/>
                  </w:divBdr>
                  <w:divsChild>
                    <w:div w:id="403648020">
                      <w:marLeft w:val="0"/>
                      <w:marRight w:val="0"/>
                      <w:marTop w:val="0"/>
                      <w:marBottom w:val="0"/>
                      <w:divBdr>
                        <w:top w:val="none" w:sz="0" w:space="0" w:color="auto"/>
                        <w:left w:val="none" w:sz="0" w:space="0" w:color="auto"/>
                        <w:bottom w:val="none" w:sz="0" w:space="0" w:color="auto"/>
                        <w:right w:val="none" w:sz="0" w:space="0" w:color="auto"/>
                      </w:divBdr>
                      <w:divsChild>
                        <w:div w:id="1957131756">
                          <w:marLeft w:val="0"/>
                          <w:marRight w:val="0"/>
                          <w:marTop w:val="0"/>
                          <w:marBottom w:val="0"/>
                          <w:divBdr>
                            <w:top w:val="none" w:sz="0" w:space="0" w:color="auto"/>
                            <w:left w:val="none" w:sz="0" w:space="0" w:color="auto"/>
                            <w:bottom w:val="none" w:sz="0" w:space="0" w:color="auto"/>
                            <w:right w:val="none" w:sz="0" w:space="0" w:color="auto"/>
                          </w:divBdr>
                          <w:divsChild>
                            <w:div w:id="1544170011">
                              <w:marLeft w:val="0"/>
                              <w:marRight w:val="0"/>
                              <w:marTop w:val="0"/>
                              <w:marBottom w:val="0"/>
                              <w:divBdr>
                                <w:top w:val="none" w:sz="0" w:space="0" w:color="auto"/>
                                <w:left w:val="none" w:sz="0" w:space="0" w:color="auto"/>
                                <w:bottom w:val="none" w:sz="0" w:space="0" w:color="auto"/>
                                <w:right w:val="none" w:sz="0" w:space="0" w:color="auto"/>
                              </w:divBdr>
                              <w:divsChild>
                                <w:div w:id="1701930881">
                                  <w:marLeft w:val="0"/>
                                  <w:marRight w:val="0"/>
                                  <w:marTop w:val="0"/>
                                  <w:marBottom w:val="750"/>
                                  <w:divBdr>
                                    <w:top w:val="none" w:sz="0" w:space="0" w:color="auto"/>
                                    <w:left w:val="none" w:sz="0" w:space="0" w:color="auto"/>
                                    <w:bottom w:val="none" w:sz="0" w:space="0" w:color="auto"/>
                                    <w:right w:val="none" w:sz="0" w:space="0" w:color="auto"/>
                                  </w:divBdr>
                                  <w:divsChild>
                                    <w:div w:id="889268960">
                                      <w:marLeft w:val="0"/>
                                      <w:marRight w:val="0"/>
                                      <w:marTop w:val="0"/>
                                      <w:marBottom w:val="0"/>
                                      <w:divBdr>
                                        <w:top w:val="none" w:sz="0" w:space="0" w:color="auto"/>
                                        <w:left w:val="none" w:sz="0" w:space="0" w:color="auto"/>
                                        <w:bottom w:val="none" w:sz="0" w:space="0" w:color="auto"/>
                                        <w:right w:val="none" w:sz="0" w:space="0" w:color="auto"/>
                                      </w:divBdr>
                                      <w:divsChild>
                                        <w:div w:id="23431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425113">
      <w:bodyDiv w:val="1"/>
      <w:marLeft w:val="0"/>
      <w:marRight w:val="0"/>
      <w:marTop w:val="0"/>
      <w:marBottom w:val="0"/>
      <w:divBdr>
        <w:top w:val="none" w:sz="0" w:space="0" w:color="auto"/>
        <w:left w:val="none" w:sz="0" w:space="0" w:color="auto"/>
        <w:bottom w:val="none" w:sz="0" w:space="0" w:color="auto"/>
        <w:right w:val="none" w:sz="0" w:space="0" w:color="auto"/>
      </w:divBdr>
      <w:divsChild>
        <w:div w:id="19823755">
          <w:marLeft w:val="0"/>
          <w:marRight w:val="0"/>
          <w:marTop w:val="0"/>
          <w:marBottom w:val="0"/>
          <w:divBdr>
            <w:top w:val="none" w:sz="0" w:space="0" w:color="auto"/>
            <w:left w:val="none" w:sz="0" w:space="0" w:color="auto"/>
            <w:bottom w:val="none" w:sz="0" w:space="0" w:color="auto"/>
            <w:right w:val="none" w:sz="0" w:space="0" w:color="auto"/>
          </w:divBdr>
          <w:divsChild>
            <w:div w:id="2100131808">
              <w:marLeft w:val="0"/>
              <w:marRight w:val="0"/>
              <w:marTop w:val="0"/>
              <w:marBottom w:val="0"/>
              <w:divBdr>
                <w:top w:val="none" w:sz="0" w:space="0" w:color="auto"/>
                <w:left w:val="none" w:sz="0" w:space="0" w:color="auto"/>
                <w:bottom w:val="none" w:sz="0" w:space="0" w:color="auto"/>
                <w:right w:val="none" w:sz="0" w:space="0" w:color="auto"/>
              </w:divBdr>
              <w:divsChild>
                <w:div w:id="210306465">
                  <w:marLeft w:val="0"/>
                  <w:marRight w:val="0"/>
                  <w:marTop w:val="0"/>
                  <w:marBottom w:val="0"/>
                  <w:divBdr>
                    <w:top w:val="none" w:sz="0" w:space="0" w:color="auto"/>
                    <w:left w:val="none" w:sz="0" w:space="0" w:color="auto"/>
                    <w:bottom w:val="none" w:sz="0" w:space="0" w:color="auto"/>
                    <w:right w:val="none" w:sz="0" w:space="0" w:color="auto"/>
                  </w:divBdr>
                  <w:divsChild>
                    <w:div w:id="1168331569">
                      <w:marLeft w:val="0"/>
                      <w:marRight w:val="0"/>
                      <w:marTop w:val="0"/>
                      <w:marBottom w:val="0"/>
                      <w:divBdr>
                        <w:top w:val="none" w:sz="0" w:space="0" w:color="auto"/>
                        <w:left w:val="none" w:sz="0" w:space="0" w:color="auto"/>
                        <w:bottom w:val="none" w:sz="0" w:space="0" w:color="auto"/>
                        <w:right w:val="none" w:sz="0" w:space="0" w:color="auto"/>
                      </w:divBdr>
                      <w:divsChild>
                        <w:div w:id="1377192527">
                          <w:marLeft w:val="0"/>
                          <w:marRight w:val="0"/>
                          <w:marTop w:val="0"/>
                          <w:marBottom w:val="0"/>
                          <w:divBdr>
                            <w:top w:val="none" w:sz="0" w:space="0" w:color="auto"/>
                            <w:left w:val="none" w:sz="0" w:space="0" w:color="auto"/>
                            <w:bottom w:val="none" w:sz="0" w:space="0" w:color="auto"/>
                            <w:right w:val="none" w:sz="0" w:space="0" w:color="auto"/>
                          </w:divBdr>
                          <w:divsChild>
                            <w:div w:id="61120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8171889">
      <w:bodyDiv w:val="1"/>
      <w:marLeft w:val="0"/>
      <w:marRight w:val="0"/>
      <w:marTop w:val="0"/>
      <w:marBottom w:val="0"/>
      <w:divBdr>
        <w:top w:val="none" w:sz="0" w:space="0" w:color="auto"/>
        <w:left w:val="none" w:sz="0" w:space="0" w:color="auto"/>
        <w:bottom w:val="none" w:sz="0" w:space="0" w:color="auto"/>
        <w:right w:val="none" w:sz="0" w:space="0" w:color="auto"/>
      </w:divBdr>
      <w:divsChild>
        <w:div w:id="1070690799">
          <w:marLeft w:val="0"/>
          <w:marRight w:val="0"/>
          <w:marTop w:val="0"/>
          <w:marBottom w:val="0"/>
          <w:divBdr>
            <w:top w:val="none" w:sz="0" w:space="0" w:color="auto"/>
            <w:left w:val="none" w:sz="0" w:space="0" w:color="auto"/>
            <w:bottom w:val="none" w:sz="0" w:space="0" w:color="auto"/>
            <w:right w:val="none" w:sz="0" w:space="0" w:color="auto"/>
          </w:divBdr>
          <w:divsChild>
            <w:div w:id="1856191861">
              <w:marLeft w:val="0"/>
              <w:marRight w:val="0"/>
              <w:marTop w:val="0"/>
              <w:marBottom w:val="0"/>
              <w:divBdr>
                <w:top w:val="none" w:sz="0" w:space="0" w:color="auto"/>
                <w:left w:val="none" w:sz="0" w:space="0" w:color="auto"/>
                <w:bottom w:val="none" w:sz="0" w:space="0" w:color="auto"/>
                <w:right w:val="none" w:sz="0" w:space="0" w:color="auto"/>
              </w:divBdr>
              <w:divsChild>
                <w:div w:id="462968447">
                  <w:marLeft w:val="0"/>
                  <w:marRight w:val="0"/>
                  <w:marTop w:val="0"/>
                  <w:marBottom w:val="0"/>
                  <w:divBdr>
                    <w:top w:val="none" w:sz="0" w:space="0" w:color="auto"/>
                    <w:left w:val="none" w:sz="0" w:space="0" w:color="auto"/>
                    <w:bottom w:val="none" w:sz="0" w:space="0" w:color="auto"/>
                    <w:right w:val="none" w:sz="0" w:space="0" w:color="auto"/>
                  </w:divBdr>
                  <w:divsChild>
                    <w:div w:id="802889814">
                      <w:marLeft w:val="0"/>
                      <w:marRight w:val="0"/>
                      <w:marTop w:val="0"/>
                      <w:marBottom w:val="0"/>
                      <w:divBdr>
                        <w:top w:val="none" w:sz="0" w:space="0" w:color="auto"/>
                        <w:left w:val="none" w:sz="0" w:space="0" w:color="auto"/>
                        <w:bottom w:val="none" w:sz="0" w:space="0" w:color="auto"/>
                        <w:right w:val="none" w:sz="0" w:space="0" w:color="auto"/>
                      </w:divBdr>
                      <w:divsChild>
                        <w:div w:id="1222596912">
                          <w:marLeft w:val="0"/>
                          <w:marRight w:val="0"/>
                          <w:marTop w:val="0"/>
                          <w:marBottom w:val="0"/>
                          <w:divBdr>
                            <w:top w:val="none" w:sz="0" w:space="0" w:color="auto"/>
                            <w:left w:val="none" w:sz="0" w:space="0" w:color="auto"/>
                            <w:bottom w:val="none" w:sz="0" w:space="0" w:color="auto"/>
                            <w:right w:val="none" w:sz="0" w:space="0" w:color="auto"/>
                          </w:divBdr>
                          <w:divsChild>
                            <w:div w:id="769931503">
                              <w:marLeft w:val="0"/>
                              <w:marRight w:val="0"/>
                              <w:marTop w:val="0"/>
                              <w:marBottom w:val="0"/>
                              <w:divBdr>
                                <w:top w:val="none" w:sz="0" w:space="0" w:color="auto"/>
                                <w:left w:val="none" w:sz="0" w:space="0" w:color="auto"/>
                                <w:bottom w:val="none" w:sz="0" w:space="0" w:color="auto"/>
                                <w:right w:val="none" w:sz="0" w:space="0" w:color="auto"/>
                              </w:divBdr>
                              <w:divsChild>
                                <w:div w:id="1333607216">
                                  <w:marLeft w:val="0"/>
                                  <w:marRight w:val="0"/>
                                  <w:marTop w:val="0"/>
                                  <w:marBottom w:val="0"/>
                                  <w:divBdr>
                                    <w:top w:val="none" w:sz="0" w:space="0" w:color="auto"/>
                                    <w:left w:val="none" w:sz="0" w:space="0" w:color="auto"/>
                                    <w:bottom w:val="none" w:sz="0" w:space="0" w:color="auto"/>
                                    <w:right w:val="none" w:sz="0" w:space="0" w:color="auto"/>
                                  </w:divBdr>
                                  <w:divsChild>
                                    <w:div w:id="20849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0007907">
      <w:bodyDiv w:val="1"/>
      <w:marLeft w:val="0"/>
      <w:marRight w:val="0"/>
      <w:marTop w:val="0"/>
      <w:marBottom w:val="0"/>
      <w:divBdr>
        <w:top w:val="none" w:sz="0" w:space="0" w:color="auto"/>
        <w:left w:val="none" w:sz="0" w:space="0" w:color="auto"/>
        <w:bottom w:val="none" w:sz="0" w:space="0" w:color="auto"/>
        <w:right w:val="none" w:sz="0" w:space="0" w:color="auto"/>
      </w:divBdr>
      <w:divsChild>
        <w:div w:id="1098253646">
          <w:marLeft w:val="0"/>
          <w:marRight w:val="0"/>
          <w:marTop w:val="0"/>
          <w:marBottom w:val="0"/>
          <w:divBdr>
            <w:top w:val="none" w:sz="0" w:space="0" w:color="auto"/>
            <w:left w:val="none" w:sz="0" w:space="0" w:color="auto"/>
            <w:bottom w:val="none" w:sz="0" w:space="0" w:color="auto"/>
            <w:right w:val="none" w:sz="0" w:space="0" w:color="auto"/>
          </w:divBdr>
          <w:divsChild>
            <w:div w:id="494802870">
              <w:marLeft w:val="0"/>
              <w:marRight w:val="0"/>
              <w:marTop w:val="0"/>
              <w:marBottom w:val="0"/>
              <w:divBdr>
                <w:top w:val="none" w:sz="0" w:space="0" w:color="auto"/>
                <w:left w:val="none" w:sz="0" w:space="0" w:color="auto"/>
                <w:bottom w:val="none" w:sz="0" w:space="0" w:color="auto"/>
                <w:right w:val="none" w:sz="0" w:space="0" w:color="auto"/>
              </w:divBdr>
              <w:divsChild>
                <w:div w:id="981497692">
                  <w:marLeft w:val="0"/>
                  <w:marRight w:val="0"/>
                  <w:marTop w:val="0"/>
                  <w:marBottom w:val="0"/>
                  <w:divBdr>
                    <w:top w:val="none" w:sz="0" w:space="0" w:color="auto"/>
                    <w:left w:val="none" w:sz="0" w:space="0" w:color="auto"/>
                    <w:bottom w:val="none" w:sz="0" w:space="0" w:color="auto"/>
                    <w:right w:val="none" w:sz="0" w:space="0" w:color="auto"/>
                  </w:divBdr>
                  <w:divsChild>
                    <w:div w:id="840579748">
                      <w:marLeft w:val="0"/>
                      <w:marRight w:val="0"/>
                      <w:marTop w:val="0"/>
                      <w:marBottom w:val="0"/>
                      <w:divBdr>
                        <w:top w:val="none" w:sz="0" w:space="0" w:color="auto"/>
                        <w:left w:val="none" w:sz="0" w:space="0" w:color="auto"/>
                        <w:bottom w:val="none" w:sz="0" w:space="0" w:color="auto"/>
                        <w:right w:val="none" w:sz="0" w:space="0" w:color="auto"/>
                      </w:divBdr>
                      <w:divsChild>
                        <w:div w:id="543099245">
                          <w:marLeft w:val="0"/>
                          <w:marRight w:val="0"/>
                          <w:marTop w:val="0"/>
                          <w:marBottom w:val="0"/>
                          <w:divBdr>
                            <w:top w:val="none" w:sz="0" w:space="0" w:color="auto"/>
                            <w:left w:val="none" w:sz="0" w:space="0" w:color="auto"/>
                            <w:bottom w:val="none" w:sz="0" w:space="0" w:color="auto"/>
                            <w:right w:val="none" w:sz="0" w:space="0" w:color="auto"/>
                          </w:divBdr>
                          <w:divsChild>
                            <w:div w:id="490021978">
                              <w:marLeft w:val="0"/>
                              <w:marRight w:val="0"/>
                              <w:marTop w:val="0"/>
                              <w:marBottom w:val="0"/>
                              <w:divBdr>
                                <w:top w:val="none" w:sz="0" w:space="0" w:color="auto"/>
                                <w:left w:val="none" w:sz="0" w:space="0" w:color="auto"/>
                                <w:bottom w:val="none" w:sz="0" w:space="0" w:color="auto"/>
                                <w:right w:val="none" w:sz="0" w:space="0" w:color="auto"/>
                              </w:divBdr>
                              <w:divsChild>
                                <w:div w:id="722364110">
                                  <w:marLeft w:val="0"/>
                                  <w:marRight w:val="0"/>
                                  <w:marTop w:val="0"/>
                                  <w:marBottom w:val="0"/>
                                  <w:divBdr>
                                    <w:top w:val="none" w:sz="0" w:space="0" w:color="auto"/>
                                    <w:left w:val="none" w:sz="0" w:space="0" w:color="auto"/>
                                    <w:bottom w:val="none" w:sz="0" w:space="0" w:color="auto"/>
                                    <w:right w:val="none" w:sz="0" w:space="0" w:color="auto"/>
                                  </w:divBdr>
                                  <w:divsChild>
                                    <w:div w:id="110770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6262387">
      <w:bodyDiv w:val="1"/>
      <w:marLeft w:val="0"/>
      <w:marRight w:val="0"/>
      <w:marTop w:val="0"/>
      <w:marBottom w:val="0"/>
      <w:divBdr>
        <w:top w:val="none" w:sz="0" w:space="0" w:color="auto"/>
        <w:left w:val="none" w:sz="0" w:space="0" w:color="auto"/>
        <w:bottom w:val="none" w:sz="0" w:space="0" w:color="auto"/>
        <w:right w:val="none" w:sz="0" w:space="0" w:color="auto"/>
      </w:divBdr>
      <w:divsChild>
        <w:div w:id="1926570311">
          <w:marLeft w:val="0"/>
          <w:marRight w:val="0"/>
          <w:marTop w:val="0"/>
          <w:marBottom w:val="0"/>
          <w:divBdr>
            <w:top w:val="none" w:sz="0" w:space="0" w:color="auto"/>
            <w:left w:val="none" w:sz="0" w:space="0" w:color="auto"/>
            <w:bottom w:val="none" w:sz="0" w:space="0" w:color="auto"/>
            <w:right w:val="none" w:sz="0" w:space="0" w:color="auto"/>
          </w:divBdr>
          <w:divsChild>
            <w:div w:id="1873805351">
              <w:marLeft w:val="0"/>
              <w:marRight w:val="0"/>
              <w:marTop w:val="0"/>
              <w:marBottom w:val="0"/>
              <w:divBdr>
                <w:top w:val="none" w:sz="0" w:space="0" w:color="auto"/>
                <w:left w:val="single" w:sz="6" w:space="0" w:color="003399"/>
                <w:bottom w:val="none" w:sz="0" w:space="0" w:color="auto"/>
                <w:right w:val="single" w:sz="6" w:space="0" w:color="003399"/>
              </w:divBdr>
              <w:divsChild>
                <w:div w:id="1374497578">
                  <w:marLeft w:val="0"/>
                  <w:marRight w:val="0"/>
                  <w:marTop w:val="0"/>
                  <w:marBottom w:val="0"/>
                  <w:divBdr>
                    <w:top w:val="none" w:sz="0" w:space="0" w:color="auto"/>
                    <w:left w:val="none" w:sz="0" w:space="0" w:color="auto"/>
                    <w:bottom w:val="none" w:sz="0" w:space="0" w:color="auto"/>
                    <w:right w:val="none" w:sz="0" w:space="0" w:color="auto"/>
                  </w:divBdr>
                  <w:divsChild>
                    <w:div w:id="344601502">
                      <w:marLeft w:val="0"/>
                      <w:marRight w:val="0"/>
                      <w:marTop w:val="0"/>
                      <w:marBottom w:val="0"/>
                      <w:divBdr>
                        <w:top w:val="none" w:sz="0" w:space="0" w:color="auto"/>
                        <w:left w:val="none" w:sz="0" w:space="0" w:color="auto"/>
                        <w:bottom w:val="none" w:sz="0" w:space="0" w:color="auto"/>
                        <w:right w:val="none" w:sz="0" w:space="0" w:color="auto"/>
                      </w:divBdr>
                      <w:divsChild>
                        <w:div w:id="727067828">
                          <w:marLeft w:val="-3150"/>
                          <w:marRight w:val="0"/>
                          <w:marTop w:val="0"/>
                          <w:marBottom w:val="0"/>
                          <w:divBdr>
                            <w:top w:val="none" w:sz="0" w:space="0" w:color="auto"/>
                            <w:left w:val="none" w:sz="0" w:space="0" w:color="auto"/>
                            <w:bottom w:val="none" w:sz="0" w:space="0" w:color="auto"/>
                            <w:right w:val="none" w:sz="0" w:space="0" w:color="auto"/>
                          </w:divBdr>
                          <w:divsChild>
                            <w:div w:id="1906186746">
                              <w:marLeft w:val="3150"/>
                              <w:marRight w:val="0"/>
                              <w:marTop w:val="0"/>
                              <w:marBottom w:val="0"/>
                              <w:divBdr>
                                <w:top w:val="none" w:sz="0" w:space="0" w:color="auto"/>
                                <w:left w:val="none" w:sz="0" w:space="0" w:color="auto"/>
                                <w:bottom w:val="none" w:sz="0" w:space="0" w:color="auto"/>
                                <w:right w:val="none" w:sz="0" w:space="0" w:color="auto"/>
                              </w:divBdr>
                              <w:divsChild>
                                <w:div w:id="1138255338">
                                  <w:marLeft w:val="0"/>
                                  <w:marRight w:val="-3000"/>
                                  <w:marTop w:val="0"/>
                                  <w:marBottom w:val="0"/>
                                  <w:divBdr>
                                    <w:top w:val="none" w:sz="0" w:space="0" w:color="auto"/>
                                    <w:left w:val="none" w:sz="0" w:space="0" w:color="auto"/>
                                    <w:bottom w:val="none" w:sz="0" w:space="0" w:color="auto"/>
                                    <w:right w:val="none" w:sz="0" w:space="0" w:color="auto"/>
                                  </w:divBdr>
                                  <w:divsChild>
                                    <w:div w:id="560795757">
                                      <w:marLeft w:val="0"/>
                                      <w:marRight w:val="3000"/>
                                      <w:marTop w:val="0"/>
                                      <w:marBottom w:val="0"/>
                                      <w:divBdr>
                                        <w:top w:val="none" w:sz="0" w:space="0" w:color="auto"/>
                                        <w:left w:val="none" w:sz="0" w:space="0" w:color="auto"/>
                                        <w:bottom w:val="none" w:sz="0" w:space="0" w:color="auto"/>
                                        <w:right w:val="none" w:sz="0" w:space="0" w:color="auto"/>
                                      </w:divBdr>
                                      <w:divsChild>
                                        <w:div w:id="437262061">
                                          <w:marLeft w:val="0"/>
                                          <w:marRight w:val="0"/>
                                          <w:marTop w:val="0"/>
                                          <w:marBottom w:val="0"/>
                                          <w:divBdr>
                                            <w:top w:val="single" w:sz="6" w:space="4" w:color="E6E6E6"/>
                                            <w:left w:val="none" w:sz="0" w:space="0" w:color="auto"/>
                                            <w:bottom w:val="none" w:sz="0" w:space="0" w:color="auto"/>
                                            <w:right w:val="none" w:sz="0" w:space="0" w:color="auto"/>
                                          </w:divBdr>
                                          <w:divsChild>
                                            <w:div w:id="1520314792">
                                              <w:marLeft w:val="0"/>
                                              <w:marRight w:val="0"/>
                                              <w:marTop w:val="150"/>
                                              <w:marBottom w:val="15"/>
                                              <w:divBdr>
                                                <w:top w:val="none" w:sz="0" w:space="0" w:color="auto"/>
                                                <w:left w:val="none" w:sz="0" w:space="0" w:color="auto"/>
                                                <w:bottom w:val="single" w:sz="6" w:space="0" w:color="E6E6E6"/>
                                                <w:right w:val="none" w:sz="0" w:space="0" w:color="auto"/>
                                              </w:divBdr>
                                              <w:divsChild>
                                                <w:div w:id="2078475750">
                                                  <w:marLeft w:val="0"/>
                                                  <w:marRight w:val="0"/>
                                                  <w:marTop w:val="0"/>
                                                  <w:marBottom w:val="450"/>
                                                  <w:divBdr>
                                                    <w:top w:val="single" w:sz="6" w:space="8" w:color="056686"/>
                                                    <w:left w:val="single" w:sz="6" w:space="8" w:color="056686"/>
                                                    <w:bottom w:val="single" w:sz="6" w:space="8" w:color="056686"/>
                                                    <w:right w:val="single" w:sz="6" w:space="8" w:color="056686"/>
                                                  </w:divBdr>
                                                  <w:divsChild>
                                                    <w:div w:id="61841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41467480">
      <w:bodyDiv w:val="1"/>
      <w:marLeft w:val="0"/>
      <w:marRight w:val="0"/>
      <w:marTop w:val="0"/>
      <w:marBottom w:val="0"/>
      <w:divBdr>
        <w:top w:val="none" w:sz="0" w:space="0" w:color="auto"/>
        <w:left w:val="none" w:sz="0" w:space="0" w:color="auto"/>
        <w:bottom w:val="none" w:sz="0" w:space="0" w:color="auto"/>
        <w:right w:val="none" w:sz="0" w:space="0" w:color="auto"/>
      </w:divBdr>
      <w:divsChild>
        <w:div w:id="1418138763">
          <w:marLeft w:val="0"/>
          <w:marRight w:val="0"/>
          <w:marTop w:val="100"/>
          <w:marBottom w:val="100"/>
          <w:divBdr>
            <w:top w:val="none" w:sz="0" w:space="0" w:color="auto"/>
            <w:left w:val="none" w:sz="0" w:space="0" w:color="auto"/>
            <w:bottom w:val="none" w:sz="0" w:space="0" w:color="auto"/>
            <w:right w:val="none" w:sz="0" w:space="0" w:color="auto"/>
          </w:divBdr>
          <w:divsChild>
            <w:div w:id="429400108">
              <w:marLeft w:val="0"/>
              <w:marRight w:val="0"/>
              <w:marTop w:val="0"/>
              <w:marBottom w:val="0"/>
              <w:divBdr>
                <w:top w:val="none" w:sz="0" w:space="0" w:color="auto"/>
                <w:left w:val="none" w:sz="0" w:space="0" w:color="auto"/>
                <w:bottom w:val="none" w:sz="0" w:space="0" w:color="auto"/>
                <w:right w:val="none" w:sz="0" w:space="0" w:color="auto"/>
              </w:divBdr>
              <w:divsChild>
                <w:div w:id="1213733150">
                  <w:marLeft w:val="0"/>
                  <w:marRight w:val="384"/>
                  <w:marTop w:val="0"/>
                  <w:marBottom w:val="0"/>
                  <w:divBdr>
                    <w:top w:val="none" w:sz="0" w:space="0" w:color="auto"/>
                    <w:left w:val="none" w:sz="0" w:space="0" w:color="auto"/>
                    <w:bottom w:val="none" w:sz="0" w:space="0" w:color="auto"/>
                    <w:right w:val="none" w:sz="0" w:space="0" w:color="auto"/>
                  </w:divBdr>
                  <w:divsChild>
                    <w:div w:id="796411544">
                      <w:marLeft w:val="0"/>
                      <w:marRight w:val="0"/>
                      <w:marTop w:val="576"/>
                      <w:marBottom w:val="0"/>
                      <w:divBdr>
                        <w:top w:val="none" w:sz="0" w:space="0" w:color="auto"/>
                        <w:left w:val="none" w:sz="0" w:space="0" w:color="auto"/>
                        <w:bottom w:val="none" w:sz="0" w:space="0" w:color="auto"/>
                        <w:right w:val="none" w:sz="0" w:space="0" w:color="auto"/>
                      </w:divBdr>
                      <w:divsChild>
                        <w:div w:id="40036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1349418">
      <w:bodyDiv w:val="1"/>
      <w:marLeft w:val="0"/>
      <w:marRight w:val="0"/>
      <w:marTop w:val="0"/>
      <w:marBottom w:val="0"/>
      <w:divBdr>
        <w:top w:val="none" w:sz="0" w:space="0" w:color="auto"/>
        <w:left w:val="none" w:sz="0" w:space="0" w:color="auto"/>
        <w:bottom w:val="none" w:sz="0" w:space="0" w:color="auto"/>
        <w:right w:val="none" w:sz="0" w:space="0" w:color="auto"/>
      </w:divBdr>
      <w:divsChild>
        <w:div w:id="2141655109">
          <w:marLeft w:val="0"/>
          <w:marRight w:val="0"/>
          <w:marTop w:val="0"/>
          <w:marBottom w:val="0"/>
          <w:divBdr>
            <w:top w:val="none" w:sz="0" w:space="0" w:color="auto"/>
            <w:left w:val="none" w:sz="0" w:space="0" w:color="auto"/>
            <w:bottom w:val="none" w:sz="0" w:space="0" w:color="auto"/>
            <w:right w:val="none" w:sz="0" w:space="0" w:color="auto"/>
          </w:divBdr>
          <w:divsChild>
            <w:div w:id="376046152">
              <w:marLeft w:val="0"/>
              <w:marRight w:val="0"/>
              <w:marTop w:val="0"/>
              <w:marBottom w:val="0"/>
              <w:divBdr>
                <w:top w:val="none" w:sz="0" w:space="0" w:color="auto"/>
                <w:left w:val="none" w:sz="0" w:space="0" w:color="auto"/>
                <w:bottom w:val="none" w:sz="0" w:space="0" w:color="auto"/>
                <w:right w:val="none" w:sz="0" w:space="0" w:color="auto"/>
              </w:divBdr>
              <w:divsChild>
                <w:div w:id="373579980">
                  <w:marLeft w:val="0"/>
                  <w:marRight w:val="0"/>
                  <w:marTop w:val="0"/>
                  <w:marBottom w:val="450"/>
                  <w:divBdr>
                    <w:top w:val="none" w:sz="0" w:space="0" w:color="auto"/>
                    <w:left w:val="none" w:sz="0" w:space="0" w:color="auto"/>
                    <w:bottom w:val="none" w:sz="0" w:space="0" w:color="auto"/>
                    <w:right w:val="none" w:sz="0" w:space="0" w:color="auto"/>
                  </w:divBdr>
                  <w:divsChild>
                    <w:div w:id="182672309">
                      <w:marLeft w:val="0"/>
                      <w:marRight w:val="0"/>
                      <w:marTop w:val="0"/>
                      <w:marBottom w:val="0"/>
                      <w:divBdr>
                        <w:top w:val="none" w:sz="0" w:space="0" w:color="auto"/>
                        <w:left w:val="none" w:sz="0" w:space="0" w:color="auto"/>
                        <w:bottom w:val="none" w:sz="0" w:space="0" w:color="auto"/>
                        <w:right w:val="none" w:sz="0" w:space="0" w:color="auto"/>
                      </w:divBdr>
                      <w:divsChild>
                        <w:div w:id="1887250779">
                          <w:marLeft w:val="0"/>
                          <w:marRight w:val="0"/>
                          <w:marTop w:val="0"/>
                          <w:marBottom w:val="0"/>
                          <w:divBdr>
                            <w:top w:val="none" w:sz="0" w:space="0" w:color="auto"/>
                            <w:left w:val="none" w:sz="0" w:space="0" w:color="auto"/>
                            <w:bottom w:val="none" w:sz="0" w:space="0" w:color="auto"/>
                            <w:right w:val="none" w:sz="0" w:space="0" w:color="auto"/>
                          </w:divBdr>
                        </w:div>
                      </w:divsChild>
                    </w:div>
                    <w:div w:id="391661353">
                      <w:marLeft w:val="0"/>
                      <w:marRight w:val="0"/>
                      <w:marTop w:val="0"/>
                      <w:marBottom w:val="0"/>
                      <w:divBdr>
                        <w:top w:val="none" w:sz="0" w:space="0" w:color="auto"/>
                        <w:left w:val="none" w:sz="0" w:space="0" w:color="auto"/>
                        <w:bottom w:val="none" w:sz="0" w:space="0" w:color="auto"/>
                        <w:right w:val="none" w:sz="0" w:space="0" w:color="auto"/>
                      </w:divBdr>
                      <w:divsChild>
                        <w:div w:id="1454707956">
                          <w:marLeft w:val="0"/>
                          <w:marRight w:val="0"/>
                          <w:marTop w:val="0"/>
                          <w:marBottom w:val="0"/>
                          <w:divBdr>
                            <w:top w:val="none" w:sz="0" w:space="0" w:color="auto"/>
                            <w:left w:val="none" w:sz="0" w:space="0" w:color="auto"/>
                            <w:bottom w:val="none" w:sz="0" w:space="0" w:color="auto"/>
                            <w:right w:val="none" w:sz="0" w:space="0" w:color="auto"/>
                          </w:divBdr>
                        </w:div>
                      </w:divsChild>
                    </w:div>
                    <w:div w:id="2028755321">
                      <w:marLeft w:val="0"/>
                      <w:marRight w:val="0"/>
                      <w:marTop w:val="0"/>
                      <w:marBottom w:val="0"/>
                      <w:divBdr>
                        <w:top w:val="none" w:sz="0" w:space="0" w:color="auto"/>
                        <w:left w:val="none" w:sz="0" w:space="0" w:color="auto"/>
                        <w:bottom w:val="none" w:sz="0" w:space="0" w:color="auto"/>
                        <w:right w:val="none" w:sz="0" w:space="0" w:color="auto"/>
                      </w:divBdr>
                      <w:divsChild>
                        <w:div w:id="33156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3574526">
      <w:bodyDiv w:val="1"/>
      <w:marLeft w:val="0"/>
      <w:marRight w:val="0"/>
      <w:marTop w:val="0"/>
      <w:marBottom w:val="0"/>
      <w:divBdr>
        <w:top w:val="none" w:sz="0" w:space="0" w:color="auto"/>
        <w:left w:val="none" w:sz="0" w:space="0" w:color="auto"/>
        <w:bottom w:val="none" w:sz="0" w:space="0" w:color="auto"/>
        <w:right w:val="none" w:sz="0" w:space="0" w:color="auto"/>
      </w:divBdr>
      <w:divsChild>
        <w:div w:id="378667643">
          <w:marLeft w:val="0"/>
          <w:marRight w:val="0"/>
          <w:marTop w:val="0"/>
          <w:marBottom w:val="0"/>
          <w:divBdr>
            <w:top w:val="none" w:sz="0" w:space="0" w:color="auto"/>
            <w:left w:val="none" w:sz="0" w:space="0" w:color="auto"/>
            <w:bottom w:val="none" w:sz="0" w:space="0" w:color="auto"/>
            <w:right w:val="none" w:sz="0" w:space="0" w:color="auto"/>
          </w:divBdr>
          <w:divsChild>
            <w:div w:id="178856029">
              <w:marLeft w:val="0"/>
              <w:marRight w:val="0"/>
              <w:marTop w:val="0"/>
              <w:marBottom w:val="0"/>
              <w:divBdr>
                <w:top w:val="none" w:sz="0" w:space="0" w:color="auto"/>
                <w:left w:val="none" w:sz="0" w:space="0" w:color="auto"/>
                <w:bottom w:val="none" w:sz="0" w:space="0" w:color="auto"/>
                <w:right w:val="none" w:sz="0" w:space="0" w:color="auto"/>
              </w:divBdr>
              <w:divsChild>
                <w:div w:id="289825652">
                  <w:marLeft w:val="0"/>
                  <w:marRight w:val="0"/>
                  <w:marTop w:val="0"/>
                  <w:marBottom w:val="0"/>
                  <w:divBdr>
                    <w:top w:val="none" w:sz="0" w:space="0" w:color="auto"/>
                    <w:left w:val="none" w:sz="0" w:space="0" w:color="auto"/>
                    <w:bottom w:val="none" w:sz="0" w:space="0" w:color="auto"/>
                    <w:right w:val="none" w:sz="0" w:space="0" w:color="auto"/>
                  </w:divBdr>
                  <w:divsChild>
                    <w:div w:id="2061396136">
                      <w:marLeft w:val="0"/>
                      <w:marRight w:val="0"/>
                      <w:marTop w:val="0"/>
                      <w:marBottom w:val="0"/>
                      <w:divBdr>
                        <w:top w:val="none" w:sz="0" w:space="0" w:color="auto"/>
                        <w:left w:val="none" w:sz="0" w:space="0" w:color="auto"/>
                        <w:bottom w:val="none" w:sz="0" w:space="0" w:color="auto"/>
                        <w:right w:val="none" w:sz="0" w:space="0" w:color="auto"/>
                      </w:divBdr>
                      <w:divsChild>
                        <w:div w:id="1349142549">
                          <w:marLeft w:val="0"/>
                          <w:marRight w:val="0"/>
                          <w:marTop w:val="0"/>
                          <w:marBottom w:val="0"/>
                          <w:divBdr>
                            <w:top w:val="none" w:sz="0" w:space="0" w:color="auto"/>
                            <w:left w:val="none" w:sz="0" w:space="0" w:color="auto"/>
                            <w:bottom w:val="none" w:sz="0" w:space="0" w:color="auto"/>
                            <w:right w:val="none" w:sz="0" w:space="0" w:color="auto"/>
                          </w:divBdr>
                          <w:divsChild>
                            <w:div w:id="588003667">
                              <w:marLeft w:val="0"/>
                              <w:marRight w:val="0"/>
                              <w:marTop w:val="0"/>
                              <w:marBottom w:val="0"/>
                              <w:divBdr>
                                <w:top w:val="none" w:sz="0" w:space="0" w:color="auto"/>
                                <w:left w:val="none" w:sz="0" w:space="0" w:color="auto"/>
                                <w:bottom w:val="none" w:sz="0" w:space="0" w:color="auto"/>
                                <w:right w:val="none" w:sz="0" w:space="0" w:color="auto"/>
                              </w:divBdr>
                              <w:divsChild>
                                <w:div w:id="1749422142">
                                  <w:marLeft w:val="-225"/>
                                  <w:marRight w:val="-225"/>
                                  <w:marTop w:val="0"/>
                                  <w:marBottom w:val="0"/>
                                  <w:divBdr>
                                    <w:top w:val="none" w:sz="0" w:space="0" w:color="auto"/>
                                    <w:left w:val="none" w:sz="0" w:space="0" w:color="auto"/>
                                    <w:bottom w:val="none" w:sz="0" w:space="0" w:color="auto"/>
                                    <w:right w:val="none" w:sz="0" w:space="0" w:color="auto"/>
                                  </w:divBdr>
                                  <w:divsChild>
                                    <w:div w:id="112685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6967702">
      <w:bodyDiv w:val="1"/>
      <w:marLeft w:val="0"/>
      <w:marRight w:val="0"/>
      <w:marTop w:val="0"/>
      <w:marBottom w:val="0"/>
      <w:divBdr>
        <w:top w:val="none" w:sz="0" w:space="0" w:color="auto"/>
        <w:left w:val="none" w:sz="0" w:space="0" w:color="auto"/>
        <w:bottom w:val="none" w:sz="0" w:space="0" w:color="auto"/>
        <w:right w:val="none" w:sz="0" w:space="0" w:color="auto"/>
      </w:divBdr>
      <w:divsChild>
        <w:div w:id="78600000">
          <w:marLeft w:val="0"/>
          <w:marRight w:val="0"/>
          <w:marTop w:val="0"/>
          <w:marBottom w:val="0"/>
          <w:divBdr>
            <w:top w:val="none" w:sz="0" w:space="0" w:color="auto"/>
            <w:left w:val="none" w:sz="0" w:space="0" w:color="auto"/>
            <w:bottom w:val="none" w:sz="0" w:space="0" w:color="auto"/>
            <w:right w:val="none" w:sz="0" w:space="0" w:color="auto"/>
          </w:divBdr>
          <w:divsChild>
            <w:div w:id="197476346">
              <w:marLeft w:val="0"/>
              <w:marRight w:val="0"/>
              <w:marTop w:val="0"/>
              <w:marBottom w:val="0"/>
              <w:divBdr>
                <w:top w:val="none" w:sz="0" w:space="0" w:color="auto"/>
                <w:left w:val="none" w:sz="0" w:space="0" w:color="auto"/>
                <w:bottom w:val="none" w:sz="0" w:space="0" w:color="auto"/>
                <w:right w:val="none" w:sz="0" w:space="0" w:color="auto"/>
              </w:divBdr>
              <w:divsChild>
                <w:div w:id="1468207015">
                  <w:marLeft w:val="0"/>
                  <w:marRight w:val="0"/>
                  <w:marTop w:val="0"/>
                  <w:marBottom w:val="450"/>
                  <w:divBdr>
                    <w:top w:val="none" w:sz="0" w:space="0" w:color="auto"/>
                    <w:left w:val="none" w:sz="0" w:space="0" w:color="auto"/>
                    <w:bottom w:val="none" w:sz="0" w:space="0" w:color="auto"/>
                    <w:right w:val="none" w:sz="0" w:space="0" w:color="auto"/>
                  </w:divBdr>
                  <w:divsChild>
                    <w:div w:id="99302358">
                      <w:marLeft w:val="0"/>
                      <w:marRight w:val="0"/>
                      <w:marTop w:val="0"/>
                      <w:marBottom w:val="0"/>
                      <w:divBdr>
                        <w:top w:val="none" w:sz="0" w:space="0" w:color="auto"/>
                        <w:left w:val="none" w:sz="0" w:space="0" w:color="auto"/>
                        <w:bottom w:val="none" w:sz="0" w:space="0" w:color="auto"/>
                        <w:right w:val="none" w:sz="0" w:space="0" w:color="auto"/>
                      </w:divBdr>
                      <w:divsChild>
                        <w:div w:id="893781626">
                          <w:marLeft w:val="0"/>
                          <w:marRight w:val="0"/>
                          <w:marTop w:val="0"/>
                          <w:marBottom w:val="0"/>
                          <w:divBdr>
                            <w:top w:val="none" w:sz="0" w:space="0" w:color="auto"/>
                            <w:left w:val="none" w:sz="0" w:space="0" w:color="auto"/>
                            <w:bottom w:val="none" w:sz="0" w:space="0" w:color="auto"/>
                            <w:right w:val="none" w:sz="0" w:space="0" w:color="auto"/>
                          </w:divBdr>
                        </w:div>
                      </w:divsChild>
                    </w:div>
                    <w:div w:id="957375943">
                      <w:marLeft w:val="0"/>
                      <w:marRight w:val="0"/>
                      <w:marTop w:val="0"/>
                      <w:marBottom w:val="0"/>
                      <w:divBdr>
                        <w:top w:val="none" w:sz="0" w:space="0" w:color="auto"/>
                        <w:left w:val="none" w:sz="0" w:space="0" w:color="auto"/>
                        <w:bottom w:val="none" w:sz="0" w:space="0" w:color="auto"/>
                        <w:right w:val="none" w:sz="0" w:space="0" w:color="auto"/>
                      </w:divBdr>
                      <w:divsChild>
                        <w:div w:id="330912623">
                          <w:marLeft w:val="0"/>
                          <w:marRight w:val="0"/>
                          <w:marTop w:val="0"/>
                          <w:marBottom w:val="0"/>
                          <w:divBdr>
                            <w:top w:val="none" w:sz="0" w:space="0" w:color="auto"/>
                            <w:left w:val="none" w:sz="0" w:space="0" w:color="auto"/>
                            <w:bottom w:val="none" w:sz="0" w:space="0" w:color="auto"/>
                            <w:right w:val="none" w:sz="0" w:space="0" w:color="auto"/>
                          </w:divBdr>
                        </w:div>
                      </w:divsChild>
                    </w:div>
                    <w:div w:id="730614958">
                      <w:marLeft w:val="0"/>
                      <w:marRight w:val="0"/>
                      <w:marTop w:val="0"/>
                      <w:marBottom w:val="0"/>
                      <w:divBdr>
                        <w:top w:val="none" w:sz="0" w:space="0" w:color="auto"/>
                        <w:left w:val="none" w:sz="0" w:space="0" w:color="auto"/>
                        <w:bottom w:val="none" w:sz="0" w:space="0" w:color="auto"/>
                        <w:right w:val="none" w:sz="0" w:space="0" w:color="auto"/>
                      </w:divBdr>
                      <w:divsChild>
                        <w:div w:id="76180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9715764">
      <w:bodyDiv w:val="1"/>
      <w:marLeft w:val="0"/>
      <w:marRight w:val="0"/>
      <w:marTop w:val="0"/>
      <w:marBottom w:val="0"/>
      <w:divBdr>
        <w:top w:val="none" w:sz="0" w:space="0" w:color="auto"/>
        <w:left w:val="none" w:sz="0" w:space="0" w:color="auto"/>
        <w:bottom w:val="none" w:sz="0" w:space="0" w:color="auto"/>
        <w:right w:val="none" w:sz="0" w:space="0" w:color="auto"/>
      </w:divBdr>
      <w:divsChild>
        <w:div w:id="560479028">
          <w:marLeft w:val="0"/>
          <w:marRight w:val="0"/>
          <w:marTop w:val="0"/>
          <w:marBottom w:val="0"/>
          <w:divBdr>
            <w:top w:val="none" w:sz="0" w:space="0" w:color="auto"/>
            <w:left w:val="none" w:sz="0" w:space="0" w:color="auto"/>
            <w:bottom w:val="none" w:sz="0" w:space="0" w:color="auto"/>
            <w:right w:val="none" w:sz="0" w:space="0" w:color="auto"/>
          </w:divBdr>
          <w:divsChild>
            <w:div w:id="437793856">
              <w:marLeft w:val="0"/>
              <w:marRight w:val="0"/>
              <w:marTop w:val="0"/>
              <w:marBottom w:val="0"/>
              <w:divBdr>
                <w:top w:val="none" w:sz="0" w:space="0" w:color="auto"/>
                <w:left w:val="none" w:sz="0" w:space="0" w:color="auto"/>
                <w:bottom w:val="none" w:sz="0" w:space="0" w:color="auto"/>
                <w:right w:val="none" w:sz="0" w:space="0" w:color="auto"/>
              </w:divBdr>
              <w:divsChild>
                <w:div w:id="286156858">
                  <w:marLeft w:val="0"/>
                  <w:marRight w:val="0"/>
                  <w:marTop w:val="0"/>
                  <w:marBottom w:val="0"/>
                  <w:divBdr>
                    <w:top w:val="none" w:sz="0" w:space="0" w:color="auto"/>
                    <w:left w:val="none" w:sz="0" w:space="0" w:color="auto"/>
                    <w:bottom w:val="none" w:sz="0" w:space="0" w:color="auto"/>
                    <w:right w:val="none" w:sz="0" w:space="0" w:color="auto"/>
                  </w:divBdr>
                  <w:divsChild>
                    <w:div w:id="1994916291">
                      <w:marLeft w:val="0"/>
                      <w:marRight w:val="0"/>
                      <w:marTop w:val="0"/>
                      <w:marBottom w:val="0"/>
                      <w:divBdr>
                        <w:top w:val="none" w:sz="0" w:space="0" w:color="auto"/>
                        <w:left w:val="none" w:sz="0" w:space="0" w:color="auto"/>
                        <w:bottom w:val="none" w:sz="0" w:space="0" w:color="auto"/>
                        <w:right w:val="none" w:sz="0" w:space="0" w:color="auto"/>
                      </w:divBdr>
                      <w:divsChild>
                        <w:div w:id="1870021710">
                          <w:marLeft w:val="0"/>
                          <w:marRight w:val="0"/>
                          <w:marTop w:val="0"/>
                          <w:marBottom w:val="0"/>
                          <w:divBdr>
                            <w:top w:val="none" w:sz="0" w:space="0" w:color="auto"/>
                            <w:left w:val="none" w:sz="0" w:space="0" w:color="auto"/>
                            <w:bottom w:val="none" w:sz="0" w:space="0" w:color="auto"/>
                            <w:right w:val="none" w:sz="0" w:space="0" w:color="auto"/>
                          </w:divBdr>
                          <w:divsChild>
                            <w:div w:id="1155757494">
                              <w:marLeft w:val="0"/>
                              <w:marRight w:val="0"/>
                              <w:marTop w:val="0"/>
                              <w:marBottom w:val="0"/>
                              <w:divBdr>
                                <w:top w:val="none" w:sz="0" w:space="0" w:color="auto"/>
                                <w:left w:val="none" w:sz="0" w:space="0" w:color="auto"/>
                                <w:bottom w:val="none" w:sz="0" w:space="0" w:color="auto"/>
                                <w:right w:val="none" w:sz="0" w:space="0" w:color="auto"/>
                              </w:divBdr>
                              <w:divsChild>
                                <w:div w:id="1669481315">
                                  <w:marLeft w:val="0"/>
                                  <w:marRight w:val="0"/>
                                  <w:marTop w:val="0"/>
                                  <w:marBottom w:val="0"/>
                                  <w:divBdr>
                                    <w:top w:val="none" w:sz="0" w:space="0" w:color="auto"/>
                                    <w:left w:val="none" w:sz="0" w:space="0" w:color="auto"/>
                                    <w:bottom w:val="none" w:sz="0" w:space="0" w:color="auto"/>
                                    <w:right w:val="none" w:sz="0" w:space="0" w:color="auto"/>
                                  </w:divBdr>
                                  <w:divsChild>
                                    <w:div w:id="500242213">
                                      <w:marLeft w:val="0"/>
                                      <w:marRight w:val="0"/>
                                      <w:marTop w:val="0"/>
                                      <w:marBottom w:val="0"/>
                                      <w:divBdr>
                                        <w:top w:val="none" w:sz="0" w:space="0" w:color="auto"/>
                                        <w:left w:val="none" w:sz="0" w:space="0" w:color="auto"/>
                                        <w:bottom w:val="none" w:sz="0" w:space="0" w:color="auto"/>
                                        <w:right w:val="none" w:sz="0" w:space="0" w:color="auto"/>
                                      </w:divBdr>
                                      <w:divsChild>
                                        <w:div w:id="559747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9995885">
      <w:bodyDiv w:val="1"/>
      <w:marLeft w:val="0"/>
      <w:marRight w:val="0"/>
      <w:marTop w:val="0"/>
      <w:marBottom w:val="0"/>
      <w:divBdr>
        <w:top w:val="none" w:sz="0" w:space="0" w:color="auto"/>
        <w:left w:val="none" w:sz="0" w:space="0" w:color="auto"/>
        <w:bottom w:val="none" w:sz="0" w:space="0" w:color="auto"/>
        <w:right w:val="none" w:sz="0" w:space="0" w:color="auto"/>
      </w:divBdr>
      <w:divsChild>
        <w:div w:id="983195554">
          <w:marLeft w:val="0"/>
          <w:marRight w:val="0"/>
          <w:marTop w:val="0"/>
          <w:marBottom w:val="0"/>
          <w:divBdr>
            <w:top w:val="none" w:sz="0" w:space="0" w:color="auto"/>
            <w:left w:val="none" w:sz="0" w:space="0" w:color="auto"/>
            <w:bottom w:val="none" w:sz="0" w:space="0" w:color="auto"/>
            <w:right w:val="none" w:sz="0" w:space="0" w:color="auto"/>
          </w:divBdr>
          <w:divsChild>
            <w:div w:id="1846047790">
              <w:marLeft w:val="0"/>
              <w:marRight w:val="0"/>
              <w:marTop w:val="0"/>
              <w:marBottom w:val="0"/>
              <w:divBdr>
                <w:top w:val="none" w:sz="0" w:space="0" w:color="auto"/>
                <w:left w:val="none" w:sz="0" w:space="0" w:color="auto"/>
                <w:bottom w:val="none" w:sz="0" w:space="0" w:color="auto"/>
                <w:right w:val="none" w:sz="0" w:space="0" w:color="auto"/>
              </w:divBdr>
              <w:divsChild>
                <w:div w:id="279192124">
                  <w:marLeft w:val="0"/>
                  <w:marRight w:val="0"/>
                  <w:marTop w:val="0"/>
                  <w:marBottom w:val="0"/>
                  <w:divBdr>
                    <w:top w:val="none" w:sz="0" w:space="0" w:color="auto"/>
                    <w:left w:val="none" w:sz="0" w:space="0" w:color="auto"/>
                    <w:bottom w:val="none" w:sz="0" w:space="0" w:color="auto"/>
                    <w:right w:val="none" w:sz="0" w:space="0" w:color="auto"/>
                  </w:divBdr>
                  <w:divsChild>
                    <w:div w:id="553589202">
                      <w:marLeft w:val="0"/>
                      <w:marRight w:val="0"/>
                      <w:marTop w:val="0"/>
                      <w:marBottom w:val="0"/>
                      <w:divBdr>
                        <w:top w:val="none" w:sz="0" w:space="0" w:color="auto"/>
                        <w:left w:val="none" w:sz="0" w:space="0" w:color="auto"/>
                        <w:bottom w:val="none" w:sz="0" w:space="0" w:color="auto"/>
                        <w:right w:val="none" w:sz="0" w:space="0" w:color="auto"/>
                      </w:divBdr>
                      <w:divsChild>
                        <w:div w:id="901797181">
                          <w:marLeft w:val="0"/>
                          <w:marRight w:val="0"/>
                          <w:marTop w:val="0"/>
                          <w:marBottom w:val="0"/>
                          <w:divBdr>
                            <w:top w:val="none" w:sz="0" w:space="0" w:color="auto"/>
                            <w:left w:val="none" w:sz="0" w:space="0" w:color="auto"/>
                            <w:bottom w:val="none" w:sz="0" w:space="0" w:color="auto"/>
                            <w:right w:val="none" w:sz="0" w:space="0" w:color="auto"/>
                          </w:divBdr>
                          <w:divsChild>
                            <w:div w:id="1746803772">
                              <w:marLeft w:val="0"/>
                              <w:marRight w:val="0"/>
                              <w:marTop w:val="0"/>
                              <w:marBottom w:val="0"/>
                              <w:divBdr>
                                <w:top w:val="none" w:sz="0" w:space="0" w:color="auto"/>
                                <w:left w:val="none" w:sz="0" w:space="0" w:color="auto"/>
                                <w:bottom w:val="none" w:sz="0" w:space="0" w:color="auto"/>
                                <w:right w:val="none" w:sz="0" w:space="0" w:color="auto"/>
                              </w:divBdr>
                              <w:divsChild>
                                <w:div w:id="1950307110">
                                  <w:marLeft w:val="0"/>
                                  <w:marRight w:val="0"/>
                                  <w:marTop w:val="0"/>
                                  <w:marBottom w:val="0"/>
                                  <w:divBdr>
                                    <w:top w:val="single" w:sz="2" w:space="15" w:color="EAE9E9"/>
                                    <w:left w:val="none" w:sz="0" w:space="0" w:color="EAE9E9"/>
                                    <w:bottom w:val="single" w:sz="2" w:space="15" w:color="EAE9E9"/>
                                    <w:right w:val="none" w:sz="0" w:space="0" w:color="EAE9E9"/>
                                  </w:divBdr>
                                  <w:divsChild>
                                    <w:div w:id="2884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2628994">
      <w:bodyDiv w:val="1"/>
      <w:marLeft w:val="0"/>
      <w:marRight w:val="0"/>
      <w:marTop w:val="0"/>
      <w:marBottom w:val="0"/>
      <w:divBdr>
        <w:top w:val="none" w:sz="0" w:space="0" w:color="auto"/>
        <w:left w:val="none" w:sz="0" w:space="0" w:color="auto"/>
        <w:bottom w:val="none" w:sz="0" w:space="0" w:color="auto"/>
        <w:right w:val="none" w:sz="0" w:space="0" w:color="auto"/>
      </w:divBdr>
      <w:divsChild>
        <w:div w:id="50887428">
          <w:marLeft w:val="0"/>
          <w:marRight w:val="0"/>
          <w:marTop w:val="0"/>
          <w:marBottom w:val="0"/>
          <w:divBdr>
            <w:top w:val="none" w:sz="0" w:space="0" w:color="auto"/>
            <w:left w:val="none" w:sz="0" w:space="0" w:color="auto"/>
            <w:bottom w:val="none" w:sz="0" w:space="0" w:color="auto"/>
            <w:right w:val="none" w:sz="0" w:space="0" w:color="auto"/>
          </w:divBdr>
          <w:divsChild>
            <w:div w:id="803499883">
              <w:marLeft w:val="0"/>
              <w:marRight w:val="0"/>
              <w:marTop w:val="0"/>
              <w:marBottom w:val="0"/>
              <w:divBdr>
                <w:top w:val="none" w:sz="0" w:space="0" w:color="auto"/>
                <w:left w:val="none" w:sz="0" w:space="0" w:color="auto"/>
                <w:bottom w:val="none" w:sz="0" w:space="0" w:color="auto"/>
                <w:right w:val="none" w:sz="0" w:space="0" w:color="auto"/>
              </w:divBdr>
              <w:divsChild>
                <w:div w:id="1082949155">
                  <w:marLeft w:val="0"/>
                  <w:marRight w:val="0"/>
                  <w:marTop w:val="0"/>
                  <w:marBottom w:val="0"/>
                  <w:divBdr>
                    <w:top w:val="none" w:sz="0" w:space="0" w:color="auto"/>
                    <w:left w:val="none" w:sz="0" w:space="0" w:color="auto"/>
                    <w:bottom w:val="none" w:sz="0" w:space="0" w:color="auto"/>
                    <w:right w:val="none" w:sz="0" w:space="0" w:color="auto"/>
                  </w:divBdr>
                  <w:divsChild>
                    <w:div w:id="1709644350">
                      <w:marLeft w:val="0"/>
                      <w:marRight w:val="0"/>
                      <w:marTop w:val="0"/>
                      <w:marBottom w:val="0"/>
                      <w:divBdr>
                        <w:top w:val="none" w:sz="0" w:space="0" w:color="auto"/>
                        <w:left w:val="none" w:sz="0" w:space="0" w:color="auto"/>
                        <w:bottom w:val="none" w:sz="0" w:space="0" w:color="auto"/>
                        <w:right w:val="none" w:sz="0" w:space="0" w:color="auto"/>
                      </w:divBdr>
                      <w:divsChild>
                        <w:div w:id="417017391">
                          <w:marLeft w:val="0"/>
                          <w:marRight w:val="0"/>
                          <w:marTop w:val="0"/>
                          <w:marBottom w:val="0"/>
                          <w:divBdr>
                            <w:top w:val="none" w:sz="0" w:space="0" w:color="auto"/>
                            <w:left w:val="none" w:sz="0" w:space="0" w:color="auto"/>
                            <w:bottom w:val="none" w:sz="0" w:space="0" w:color="auto"/>
                            <w:right w:val="none" w:sz="0" w:space="0" w:color="auto"/>
                          </w:divBdr>
                          <w:divsChild>
                            <w:div w:id="707950471">
                              <w:marLeft w:val="0"/>
                              <w:marRight w:val="0"/>
                              <w:marTop w:val="0"/>
                              <w:marBottom w:val="0"/>
                              <w:divBdr>
                                <w:top w:val="none" w:sz="0" w:space="0" w:color="auto"/>
                                <w:left w:val="none" w:sz="0" w:space="0" w:color="auto"/>
                                <w:bottom w:val="none" w:sz="0" w:space="0" w:color="auto"/>
                                <w:right w:val="none" w:sz="0" w:space="0" w:color="auto"/>
                              </w:divBdr>
                              <w:divsChild>
                                <w:div w:id="1089544946">
                                  <w:marLeft w:val="0"/>
                                  <w:marRight w:val="0"/>
                                  <w:marTop w:val="0"/>
                                  <w:marBottom w:val="0"/>
                                  <w:divBdr>
                                    <w:top w:val="none" w:sz="0" w:space="0" w:color="auto"/>
                                    <w:left w:val="none" w:sz="0" w:space="0" w:color="auto"/>
                                    <w:bottom w:val="none" w:sz="0" w:space="0" w:color="auto"/>
                                    <w:right w:val="none" w:sz="0" w:space="0" w:color="auto"/>
                                  </w:divBdr>
                                  <w:divsChild>
                                    <w:div w:id="22873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0472666">
      <w:bodyDiv w:val="1"/>
      <w:marLeft w:val="0"/>
      <w:marRight w:val="0"/>
      <w:marTop w:val="0"/>
      <w:marBottom w:val="0"/>
      <w:divBdr>
        <w:top w:val="none" w:sz="0" w:space="0" w:color="auto"/>
        <w:left w:val="none" w:sz="0" w:space="0" w:color="auto"/>
        <w:bottom w:val="none" w:sz="0" w:space="0" w:color="auto"/>
        <w:right w:val="none" w:sz="0" w:space="0" w:color="auto"/>
      </w:divBdr>
    </w:div>
    <w:div w:id="2077702712">
      <w:bodyDiv w:val="1"/>
      <w:marLeft w:val="0"/>
      <w:marRight w:val="0"/>
      <w:marTop w:val="0"/>
      <w:marBottom w:val="0"/>
      <w:divBdr>
        <w:top w:val="none" w:sz="0" w:space="0" w:color="auto"/>
        <w:left w:val="none" w:sz="0" w:space="0" w:color="auto"/>
        <w:bottom w:val="none" w:sz="0" w:space="0" w:color="auto"/>
        <w:right w:val="none" w:sz="0" w:space="0" w:color="auto"/>
      </w:divBdr>
      <w:divsChild>
        <w:div w:id="227811413">
          <w:marLeft w:val="0"/>
          <w:marRight w:val="0"/>
          <w:marTop w:val="0"/>
          <w:marBottom w:val="0"/>
          <w:divBdr>
            <w:top w:val="none" w:sz="0" w:space="0" w:color="auto"/>
            <w:left w:val="none" w:sz="0" w:space="0" w:color="auto"/>
            <w:bottom w:val="none" w:sz="0" w:space="0" w:color="auto"/>
            <w:right w:val="none" w:sz="0" w:space="0" w:color="auto"/>
          </w:divBdr>
          <w:divsChild>
            <w:div w:id="1426417895">
              <w:marLeft w:val="0"/>
              <w:marRight w:val="0"/>
              <w:marTop w:val="0"/>
              <w:marBottom w:val="0"/>
              <w:divBdr>
                <w:top w:val="none" w:sz="0" w:space="0" w:color="auto"/>
                <w:left w:val="none" w:sz="0" w:space="0" w:color="auto"/>
                <w:bottom w:val="none" w:sz="0" w:space="0" w:color="auto"/>
                <w:right w:val="none" w:sz="0" w:space="0" w:color="auto"/>
              </w:divBdr>
              <w:divsChild>
                <w:div w:id="924075689">
                  <w:marLeft w:val="0"/>
                  <w:marRight w:val="0"/>
                  <w:marTop w:val="0"/>
                  <w:marBottom w:val="0"/>
                  <w:divBdr>
                    <w:top w:val="none" w:sz="0" w:space="0" w:color="auto"/>
                    <w:left w:val="none" w:sz="0" w:space="0" w:color="auto"/>
                    <w:bottom w:val="none" w:sz="0" w:space="0" w:color="auto"/>
                    <w:right w:val="none" w:sz="0" w:space="0" w:color="auto"/>
                  </w:divBdr>
                  <w:divsChild>
                    <w:div w:id="1314602123">
                      <w:marLeft w:val="0"/>
                      <w:marRight w:val="0"/>
                      <w:marTop w:val="0"/>
                      <w:marBottom w:val="0"/>
                      <w:divBdr>
                        <w:top w:val="none" w:sz="0" w:space="0" w:color="auto"/>
                        <w:left w:val="none" w:sz="0" w:space="0" w:color="auto"/>
                        <w:bottom w:val="none" w:sz="0" w:space="0" w:color="auto"/>
                        <w:right w:val="none" w:sz="0" w:space="0" w:color="auto"/>
                      </w:divBdr>
                      <w:divsChild>
                        <w:div w:id="1500578992">
                          <w:marLeft w:val="0"/>
                          <w:marRight w:val="0"/>
                          <w:marTop w:val="0"/>
                          <w:marBottom w:val="0"/>
                          <w:divBdr>
                            <w:top w:val="none" w:sz="0" w:space="0" w:color="auto"/>
                            <w:left w:val="none" w:sz="0" w:space="0" w:color="auto"/>
                            <w:bottom w:val="none" w:sz="0" w:space="0" w:color="auto"/>
                            <w:right w:val="none" w:sz="0" w:space="0" w:color="auto"/>
                          </w:divBdr>
                          <w:divsChild>
                            <w:div w:id="505052071">
                              <w:marLeft w:val="0"/>
                              <w:marRight w:val="0"/>
                              <w:marTop w:val="0"/>
                              <w:marBottom w:val="0"/>
                              <w:divBdr>
                                <w:top w:val="none" w:sz="0" w:space="0" w:color="auto"/>
                                <w:left w:val="none" w:sz="0" w:space="0" w:color="auto"/>
                                <w:bottom w:val="none" w:sz="0" w:space="0" w:color="auto"/>
                                <w:right w:val="none" w:sz="0" w:space="0" w:color="auto"/>
                              </w:divBdr>
                              <w:divsChild>
                                <w:div w:id="1772702993">
                                  <w:marLeft w:val="0"/>
                                  <w:marRight w:val="0"/>
                                  <w:marTop w:val="0"/>
                                  <w:marBottom w:val="0"/>
                                  <w:divBdr>
                                    <w:top w:val="none" w:sz="0" w:space="0" w:color="auto"/>
                                    <w:left w:val="none" w:sz="0" w:space="0" w:color="auto"/>
                                    <w:bottom w:val="none" w:sz="0" w:space="0" w:color="auto"/>
                                    <w:right w:val="none" w:sz="0" w:space="0" w:color="auto"/>
                                  </w:divBdr>
                                  <w:divsChild>
                                    <w:div w:id="58356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1780272">
      <w:bodyDiv w:val="1"/>
      <w:marLeft w:val="0"/>
      <w:marRight w:val="0"/>
      <w:marTop w:val="0"/>
      <w:marBottom w:val="0"/>
      <w:divBdr>
        <w:top w:val="none" w:sz="0" w:space="0" w:color="auto"/>
        <w:left w:val="none" w:sz="0" w:space="0" w:color="auto"/>
        <w:bottom w:val="none" w:sz="0" w:space="0" w:color="auto"/>
        <w:right w:val="none" w:sz="0" w:space="0" w:color="auto"/>
      </w:divBdr>
      <w:divsChild>
        <w:div w:id="1490749650">
          <w:marLeft w:val="0"/>
          <w:marRight w:val="0"/>
          <w:marTop w:val="0"/>
          <w:marBottom w:val="0"/>
          <w:divBdr>
            <w:top w:val="none" w:sz="0" w:space="0" w:color="auto"/>
            <w:left w:val="none" w:sz="0" w:space="0" w:color="auto"/>
            <w:bottom w:val="none" w:sz="0" w:space="0" w:color="auto"/>
            <w:right w:val="none" w:sz="0" w:space="0" w:color="auto"/>
          </w:divBdr>
          <w:divsChild>
            <w:div w:id="174467040">
              <w:marLeft w:val="0"/>
              <w:marRight w:val="0"/>
              <w:marTop w:val="0"/>
              <w:marBottom w:val="0"/>
              <w:divBdr>
                <w:top w:val="none" w:sz="0" w:space="0" w:color="auto"/>
                <w:left w:val="none" w:sz="0" w:space="0" w:color="auto"/>
                <w:bottom w:val="none" w:sz="0" w:space="0" w:color="auto"/>
                <w:right w:val="none" w:sz="0" w:space="0" w:color="auto"/>
              </w:divBdr>
              <w:divsChild>
                <w:div w:id="2074546394">
                  <w:marLeft w:val="0"/>
                  <w:marRight w:val="0"/>
                  <w:marTop w:val="0"/>
                  <w:marBottom w:val="0"/>
                  <w:divBdr>
                    <w:top w:val="none" w:sz="0" w:space="0" w:color="auto"/>
                    <w:left w:val="none" w:sz="0" w:space="0" w:color="auto"/>
                    <w:bottom w:val="none" w:sz="0" w:space="0" w:color="auto"/>
                    <w:right w:val="none" w:sz="0" w:space="0" w:color="auto"/>
                  </w:divBdr>
                  <w:divsChild>
                    <w:div w:id="263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4788769">
      <w:bodyDiv w:val="1"/>
      <w:marLeft w:val="0"/>
      <w:marRight w:val="0"/>
      <w:marTop w:val="0"/>
      <w:marBottom w:val="0"/>
      <w:divBdr>
        <w:top w:val="none" w:sz="0" w:space="0" w:color="auto"/>
        <w:left w:val="none" w:sz="0" w:space="0" w:color="auto"/>
        <w:bottom w:val="none" w:sz="0" w:space="0" w:color="auto"/>
        <w:right w:val="none" w:sz="0" w:space="0" w:color="auto"/>
      </w:divBdr>
      <w:divsChild>
        <w:div w:id="323944615">
          <w:marLeft w:val="0"/>
          <w:marRight w:val="0"/>
          <w:marTop w:val="0"/>
          <w:marBottom w:val="0"/>
          <w:divBdr>
            <w:top w:val="none" w:sz="0" w:space="0" w:color="auto"/>
            <w:left w:val="none" w:sz="0" w:space="0" w:color="auto"/>
            <w:bottom w:val="none" w:sz="0" w:space="0" w:color="auto"/>
            <w:right w:val="none" w:sz="0" w:space="0" w:color="auto"/>
          </w:divBdr>
          <w:divsChild>
            <w:div w:id="1125924081">
              <w:marLeft w:val="0"/>
              <w:marRight w:val="0"/>
              <w:marTop w:val="0"/>
              <w:marBottom w:val="0"/>
              <w:divBdr>
                <w:top w:val="none" w:sz="0" w:space="0" w:color="auto"/>
                <w:left w:val="none" w:sz="0" w:space="0" w:color="auto"/>
                <w:bottom w:val="none" w:sz="0" w:space="0" w:color="auto"/>
                <w:right w:val="none" w:sz="0" w:space="0" w:color="auto"/>
              </w:divBdr>
              <w:divsChild>
                <w:div w:id="21563811">
                  <w:marLeft w:val="0"/>
                  <w:marRight w:val="0"/>
                  <w:marTop w:val="0"/>
                  <w:marBottom w:val="0"/>
                  <w:divBdr>
                    <w:top w:val="none" w:sz="0" w:space="0" w:color="auto"/>
                    <w:left w:val="none" w:sz="0" w:space="0" w:color="auto"/>
                    <w:bottom w:val="none" w:sz="0" w:space="0" w:color="auto"/>
                    <w:right w:val="none" w:sz="0" w:space="0" w:color="auto"/>
                  </w:divBdr>
                  <w:divsChild>
                    <w:div w:id="1877808880">
                      <w:marLeft w:val="0"/>
                      <w:marRight w:val="0"/>
                      <w:marTop w:val="0"/>
                      <w:marBottom w:val="0"/>
                      <w:divBdr>
                        <w:top w:val="none" w:sz="0" w:space="0" w:color="auto"/>
                        <w:left w:val="none" w:sz="0" w:space="0" w:color="auto"/>
                        <w:bottom w:val="none" w:sz="0" w:space="0" w:color="auto"/>
                        <w:right w:val="none" w:sz="0" w:space="0" w:color="auto"/>
                      </w:divBdr>
                      <w:divsChild>
                        <w:div w:id="1355228459">
                          <w:marLeft w:val="0"/>
                          <w:marRight w:val="0"/>
                          <w:marTop w:val="0"/>
                          <w:marBottom w:val="0"/>
                          <w:divBdr>
                            <w:top w:val="none" w:sz="0" w:space="0" w:color="auto"/>
                            <w:left w:val="none" w:sz="0" w:space="0" w:color="auto"/>
                            <w:bottom w:val="none" w:sz="0" w:space="0" w:color="auto"/>
                            <w:right w:val="none" w:sz="0" w:space="0" w:color="auto"/>
                          </w:divBdr>
                          <w:divsChild>
                            <w:div w:id="1771194772">
                              <w:marLeft w:val="0"/>
                              <w:marRight w:val="0"/>
                              <w:marTop w:val="0"/>
                              <w:marBottom w:val="0"/>
                              <w:divBdr>
                                <w:top w:val="none" w:sz="0" w:space="0" w:color="auto"/>
                                <w:left w:val="none" w:sz="0" w:space="0" w:color="auto"/>
                                <w:bottom w:val="none" w:sz="0" w:space="0" w:color="auto"/>
                                <w:right w:val="none" w:sz="0" w:space="0" w:color="auto"/>
                              </w:divBdr>
                              <w:divsChild>
                                <w:div w:id="1279490830">
                                  <w:marLeft w:val="0"/>
                                  <w:marRight w:val="0"/>
                                  <w:marTop w:val="0"/>
                                  <w:marBottom w:val="0"/>
                                  <w:divBdr>
                                    <w:top w:val="none" w:sz="0" w:space="0" w:color="auto"/>
                                    <w:left w:val="none" w:sz="0" w:space="0" w:color="auto"/>
                                    <w:bottom w:val="none" w:sz="0" w:space="0" w:color="auto"/>
                                    <w:right w:val="none" w:sz="0" w:space="0" w:color="auto"/>
                                  </w:divBdr>
                                  <w:divsChild>
                                    <w:div w:id="1292980061">
                                      <w:marLeft w:val="0"/>
                                      <w:marRight w:val="0"/>
                                      <w:marTop w:val="0"/>
                                      <w:marBottom w:val="0"/>
                                      <w:divBdr>
                                        <w:top w:val="none" w:sz="0" w:space="0" w:color="auto"/>
                                        <w:left w:val="none" w:sz="0" w:space="0" w:color="auto"/>
                                        <w:bottom w:val="none" w:sz="0" w:space="0" w:color="auto"/>
                                        <w:right w:val="none" w:sz="0" w:space="0" w:color="auto"/>
                                      </w:divBdr>
                                      <w:divsChild>
                                        <w:div w:id="193181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ec.europa.eu/europe2020/europe-2020-in-a-nutshell/targets/index_en.htm" TargetMode="External"/><Relationship Id="rId18" Type="http://schemas.openxmlformats.org/officeDocument/2006/relationships/hyperlink" Target="http://ec.europa.eu/europe2020/pdf/2016/ags2016_euro_area_recommendations.pdf" TargetMode="External"/><Relationship Id="rId26" Type="http://schemas.openxmlformats.org/officeDocument/2006/relationships/hyperlink" Target="http://english.eu2016.nl/documents/publications/2016/01/07/programme-of-the-netherlands-presidency-of-the-council-of-the" TargetMode="External"/><Relationship Id="rId39" Type="http://schemas.openxmlformats.org/officeDocument/2006/relationships/hyperlink" Target="http://data.consilium.europa.eu/doc/document/ST-5745-2016-INIT/en/pdf" TargetMode="External"/><Relationship Id="rId21" Type="http://schemas.openxmlformats.org/officeDocument/2006/relationships/hyperlink" Target="http://ec.europa.eu/atwork/pdf/cwp_2015_en.pdf" TargetMode="External"/><Relationship Id="rId34" Type="http://schemas.openxmlformats.org/officeDocument/2006/relationships/hyperlink" Target="http://ec.europa.eu/education/policy/strategic-framework/expert-groups/documents/early-leaving-policy_en.pdf" TargetMode="External"/><Relationship Id="rId42" Type="http://schemas.openxmlformats.org/officeDocument/2006/relationships/hyperlink" Target="http://www.eucis-lll.eu/eucis-lll/wp-content/uploads/2016/01/Civil-Society-Day-Policy-Recommendations-6Jan15.pdf" TargetMode="External"/><Relationship Id="rId47" Type="http://schemas.openxmlformats.org/officeDocument/2006/relationships/hyperlink" Target="http://bookshop.europa.eu/is-bin/INTERSHOP.enfinity/WFS/EU-Bookshop-Site/en_GB/-/EUR/ViewPublication-Start?PublicationKey=ECAE16001" TargetMode="External"/><Relationship Id="rId50" Type="http://schemas.openxmlformats.org/officeDocument/2006/relationships/hyperlink" Target="http://www.cedefop.europa.eu/en/publications-and-resources/publications/3073" TargetMode="External"/><Relationship Id="rId55" Type="http://schemas.openxmlformats.org/officeDocument/2006/relationships/hyperlink" Target="http://ec.europa.eu/social/main.jsp?catId=738&amp;langId=en&amp;pubId=7859&amp;furtherPubs=yes" TargetMode="External"/><Relationship Id="rId7" Type="http://schemas.openxmlformats.org/officeDocument/2006/relationships/styles" Target="styles.xml"/><Relationship Id="rId12" Type="http://schemas.openxmlformats.org/officeDocument/2006/relationships/hyperlink" Target="http://ec.europa.eu/atwork/key-documents/index_en.htm" TargetMode="External"/><Relationship Id="rId17" Type="http://schemas.openxmlformats.org/officeDocument/2006/relationships/hyperlink" Target="http://ec.europa.eu/europe2020/pdf/2016/ags2016_draft_joint_employment_report.pdf" TargetMode="External"/><Relationship Id="rId25" Type="http://schemas.openxmlformats.org/officeDocument/2006/relationships/hyperlink" Target="http://english.eu2016.nl/" TargetMode="External"/><Relationship Id="rId33" Type="http://schemas.openxmlformats.org/officeDocument/2006/relationships/hyperlink" Target="http://ec.europa.eu/dgs/education_culture/more_info/consultations/new-modernisation-agenda_en.htm" TargetMode="External"/><Relationship Id="rId38" Type="http://schemas.openxmlformats.org/officeDocument/2006/relationships/hyperlink" Target="http://english.eu2016.nl/documents/publications/2016/02/16/programme-skills-for-a-lifetime-%E2%80%93-towards-a-future-proof-vet" TargetMode="External"/><Relationship Id="rId46" Type="http://schemas.openxmlformats.org/officeDocument/2006/relationships/hyperlink" Target="http://bookshop.europa.eu/is-bin/INTERSHOP.enfinity/WFS/EU-Bookshop-Site/en_GB/-/EUR/ViewPublication-Start?PublicationKey=ECAM15002" TargetMode="External"/><Relationship Id="rId59"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ec.europa.eu/europe2020/pdf/2016/ags2016_alert_mechanism_report.pdf" TargetMode="External"/><Relationship Id="rId20" Type="http://schemas.openxmlformats.org/officeDocument/2006/relationships/hyperlink" Target="http://ec.europa.eu/priorities/docs/pg_en.pdf" TargetMode="External"/><Relationship Id="rId29" Type="http://schemas.openxmlformats.org/officeDocument/2006/relationships/hyperlink" Target="http://data.consilium.europa.eu/doc/document/ST-5545-2016-INIT/en/pdf" TargetMode="External"/><Relationship Id="rId41" Type="http://schemas.openxmlformats.org/officeDocument/2006/relationships/hyperlink" Target="https://webgate.ec.europa.eu/fpfis/mwikis/eurydice/index.php/Publications:Structural_Indicators_for_Monitoring_Education_and_Training_Systems_in_Europe_%E2%80%93_2015" TargetMode="External"/><Relationship Id="rId54" Type="http://schemas.openxmlformats.org/officeDocument/2006/relationships/hyperlink" Target="http://data.consilium.europa.eu/doc/document/ST-13631-2015-INIT/en/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data.consilium.europa.eu/doc/document/ST-12396-2015-INIT/en/pdf" TargetMode="External"/><Relationship Id="rId32" Type="http://schemas.openxmlformats.org/officeDocument/2006/relationships/hyperlink" Target="http://data.consilium.europa.eu/doc/document/ST-13860-2015-INIT/en/pdf" TargetMode="External"/><Relationship Id="rId37" Type="http://schemas.openxmlformats.org/officeDocument/2006/relationships/hyperlink" Target="http://data.consilium.europa.eu/doc/document/ST-5685-2016-INIT/en/pdf" TargetMode="External"/><Relationship Id="rId40" Type="http://schemas.openxmlformats.org/officeDocument/2006/relationships/hyperlink" Target="http://ec.europa.eu/education/tools/et-monitor_en.htm" TargetMode="External"/><Relationship Id="rId45" Type="http://schemas.openxmlformats.org/officeDocument/2006/relationships/hyperlink" Target="http://bookshop.europa.eu/is-bin/INTERSHOP.enfinity/WFS/EU-Bookshop-Site/en_GB/-/EUR/ViewPublication-Start?PublicationKey=EC0115598" TargetMode="External"/><Relationship Id="rId53" Type="http://schemas.openxmlformats.org/officeDocument/2006/relationships/hyperlink" Target="http://ec.europa.eu/youth/policy/implementation/report_en.htm" TargetMode="External"/><Relationship Id="rId58"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ec.europa.eu/europe2020/pdf/2016/ags2016_annual_growth_survey.pdf" TargetMode="External"/><Relationship Id="rId23" Type="http://schemas.openxmlformats.org/officeDocument/2006/relationships/hyperlink" Target="http://www.eu2015lu.eu" TargetMode="External"/><Relationship Id="rId28" Type="http://schemas.openxmlformats.org/officeDocument/2006/relationships/hyperlink" Target="http://www.consilium.europa.eu/en/meetings/eycs/2015/11/23-24/" TargetMode="External"/><Relationship Id="rId36" Type="http://schemas.openxmlformats.org/officeDocument/2006/relationships/hyperlink" Target="http://ec.europa.eu/education/library/statistics/erasmus-plus-annual-report_en.pdf?pk_campaign=Email-Feb2016&amp;pk_kwd=Studies1" TargetMode="External"/><Relationship Id="rId49" Type="http://schemas.openxmlformats.org/officeDocument/2006/relationships/hyperlink" Target="https://webgate.ec.europa.eu/fpfis/mwikis/eurydice/images/8/8f/194EN.pdf" TargetMode="External"/><Relationship Id="rId57"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data.consilium.europa.eu/doc/document/ST-79-2014-INIT/en/pdf" TargetMode="External"/><Relationship Id="rId31" Type="http://schemas.openxmlformats.org/officeDocument/2006/relationships/hyperlink" Target="http://data.consilium.europa.eu/doc/document/ST-13858-2015-INIT/en/pdf" TargetMode="External"/><Relationship Id="rId44" Type="http://schemas.openxmlformats.org/officeDocument/2006/relationships/hyperlink" Target="http://www.europarl.europa.eu/RegData/etudes/STUD/2015/540370/IPOL_STU(2015)540370_EN.pdf" TargetMode="External"/><Relationship Id="rId52" Type="http://schemas.openxmlformats.org/officeDocument/2006/relationships/hyperlink" Target="http://eur-lex.europa.eu/legal-content/EN/TXT/HTML/?uri=CELEX:52009DC0200&amp;from=EN"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ec.europa.eu/priorities/economic-monetary-union/docs/single-market-strategy/communication-emu-steps_en.pdf" TargetMode="External"/><Relationship Id="rId22" Type="http://schemas.openxmlformats.org/officeDocument/2006/relationships/hyperlink" Target="http://register.consilium.europa.eu/doc/srv?l=EN&amp;f=ST%2011258%202014%20INIT" TargetMode="External"/><Relationship Id="rId27" Type="http://schemas.openxmlformats.org/officeDocument/2006/relationships/hyperlink" Target="http://data.consilium.europa.eu/doc/document/ST-8293-2015-INIT/en/pdf" TargetMode="External"/><Relationship Id="rId30" Type="http://schemas.openxmlformats.org/officeDocument/2006/relationships/hyperlink" Target="http://www.consilium.europa.eu/en/meetings/eycs/2016/02/st06361_en16_pdf/" TargetMode="External"/><Relationship Id="rId35" Type="http://schemas.openxmlformats.org/officeDocument/2006/relationships/hyperlink" Target="http://ec.europa.eu/education/library/reports/initial-teacher-education-sum_en.pdf" TargetMode="External"/><Relationship Id="rId43" Type="http://schemas.openxmlformats.org/officeDocument/2006/relationships/hyperlink" Target="http://skillspanorama.cedefop.europa.eu/en" TargetMode="External"/><Relationship Id="rId48" Type="http://schemas.openxmlformats.org/officeDocument/2006/relationships/hyperlink" Target="https://webgate.ec.europa.eu/fpfis/mwikis/eurydice/images/0/05/192EN.pdf" TargetMode="External"/><Relationship Id="rId56" Type="http://schemas.openxmlformats.org/officeDocument/2006/relationships/header" Target="header1.xml"/><Relationship Id="rId8" Type="http://schemas.openxmlformats.org/officeDocument/2006/relationships/settings" Target="settings.xml"/><Relationship Id="rId51" Type="http://schemas.openxmlformats.org/officeDocument/2006/relationships/hyperlink" Target="https://webgate.ec.europa.eu/fpfis/mwikis/eurydice/index.php/Publications:Entrepreneurship_Education_at_School_in_Europe_-_2016_Edition" TargetMode="Externa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Word document" ma:contentTypeID="0x01010013FA9F86F07527429109D07386E59391001D60862F57ED604C9A2DDC94254134FE" ma:contentTypeVersion="1" ma:contentTypeDescription="" ma:contentTypeScope="" ma:versionID="9b0fb69cd2a266a950260e445ab792e7">
  <xsd:schema xmlns:xsd="http://www.w3.org/2001/XMLSchema" xmlns:xs="http://www.w3.org/2001/XMLSchema" xmlns:p="http://schemas.microsoft.com/office/2006/metadata/properties" xmlns:ns2="ca35f6fb-1165-4b91-a168-522f87563d43" targetNamespace="http://schemas.microsoft.com/office/2006/metadata/properties" ma:root="true" ma:fieldsID="5151203c7546b48781e3c3f7f7ee3f74" ns2:_="">
    <xsd:import namespace="ca35f6fb-1165-4b91-a168-522f87563d43"/>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35f6fb-1165-4b91-a168-522f87563d43"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 blijven behouden" ma:description="Id behouden tijdens toevoegen."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ca35f6fb-1165-4b91-a168-522f87563d43">QM5P4ZDXZJVS-288-4791</_dlc_DocId>
    <_dlc_DocIdUrl xmlns="ca35f6fb-1165-4b91-a168-522f87563d43">
      <Url>http://vlor05/eunec/_layouts/DocIdRedir.aspx?ID=QM5P4ZDXZJVS-288-4791</Url>
      <Description>QM5P4ZDXZJVS-288-4791</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FEA3C9-C7BA-4B5B-B4D9-720251BE1C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35f6fb-1165-4b91-a168-522f87563d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C438D11-5A73-4CC8-8D42-8E2ABAE59184}">
  <ds:schemaRefs>
    <ds:schemaRef ds:uri="http://schemas.microsoft.com/sharepoint/events"/>
  </ds:schemaRefs>
</ds:datastoreItem>
</file>

<file path=customXml/itemProps3.xml><?xml version="1.0" encoding="utf-8"?>
<ds:datastoreItem xmlns:ds="http://schemas.openxmlformats.org/officeDocument/2006/customXml" ds:itemID="{F460BE09-C502-4DEF-BD6A-B551223B6BAF}">
  <ds:schemaRefs>
    <ds:schemaRef ds:uri="http://schemas.microsoft.com/sharepoint/v3/contenttype/forms"/>
  </ds:schemaRefs>
</ds:datastoreItem>
</file>

<file path=customXml/itemProps4.xml><?xml version="1.0" encoding="utf-8"?>
<ds:datastoreItem xmlns:ds="http://schemas.openxmlformats.org/officeDocument/2006/customXml" ds:itemID="{4315B425-94FE-4B49-84DB-E9F84E599562}">
  <ds:schemaRef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ca35f6fb-1165-4b91-a168-522f87563d43"/>
    <ds:schemaRef ds:uri="http://purl.org/dc/terms/"/>
    <ds:schemaRef ds:uri="http://schemas.openxmlformats.org/package/2006/metadata/core-properties"/>
    <ds:schemaRef ds:uri="http://www.w3.org/XML/1998/namespace"/>
  </ds:schemaRefs>
</ds:datastoreItem>
</file>

<file path=customXml/itemProps5.xml><?xml version="1.0" encoding="utf-8"?>
<ds:datastoreItem xmlns:ds="http://schemas.openxmlformats.org/officeDocument/2006/customXml" ds:itemID="{25192A18-6397-4577-8CA3-2DA5CAC24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7943</Words>
  <Characters>43691</Characters>
  <Application>Microsoft Office Word</Application>
  <DocSecurity>0</DocSecurity>
  <Lines>364</Lines>
  <Paragraphs>103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Carine De Smet</dc:creator>
  <cp:lastModifiedBy>Carine De Smet</cp:lastModifiedBy>
  <cp:revision>2</cp:revision>
  <cp:lastPrinted>2015-09-10T08:39:00Z</cp:lastPrinted>
  <dcterms:created xsi:type="dcterms:W3CDTF">2016-08-09T08:43:00Z</dcterms:created>
  <dcterms:modified xsi:type="dcterms:W3CDTF">2016-08-09T08:43:00Z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0x01010013FA9F86F07527429109D07386E59391001D60862F57ED604C9A2DDC94254134FE</vt:lpwstr>
  </property>
  <property fmtid="{D5CDD505-2E9C-101B-9397-08002B2CF9AE}" pid="3" name="_dlc_DocIdItemGuid">
    <vt:lpwstr>487cba8b-4f1a-46dd-bfe2-97d48f6d57df</vt:lpwstr>
  </property>
</Properties>
</file>