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3876"/>
      </w:tblGrid>
      <w:tr w:rsidR="004F0385" w:rsidRPr="001E64C3" w:rsidTr="00D12944">
        <w:trPr>
          <w:jc w:val="center"/>
        </w:trPr>
        <w:tc>
          <w:tcPr>
            <w:tcW w:w="5077" w:type="dxa"/>
          </w:tcPr>
          <w:p w:rsidR="004F0385" w:rsidRPr="001E64C3" w:rsidRDefault="004F0385" w:rsidP="007B4E98">
            <w:pPr>
              <w:spacing w:line="280" w:lineRule="exact"/>
              <w:rPr>
                <w:rFonts w:ascii="Arial" w:hAnsi="Arial"/>
                <w:lang w:eastAsia="nl-NL"/>
              </w:rPr>
            </w:pPr>
            <w:r>
              <w:rPr>
                <w:rFonts w:ascii="Arial" w:hAnsi="Arial"/>
                <w:noProof/>
              </w:rPr>
              <w:drawing>
                <wp:anchor distT="0" distB="0" distL="114300" distR="114300" simplePos="0" relativeHeight="251659264" behindDoc="0" locked="0" layoutInCell="1" allowOverlap="1" wp14:anchorId="33B05E19" wp14:editId="1016C18C">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3876" w:type="dxa"/>
          </w:tcPr>
          <w:p w:rsidR="004F0385" w:rsidRPr="001E64C3" w:rsidRDefault="004F0385" w:rsidP="00BF2B5C">
            <w:pPr>
              <w:spacing w:line="280" w:lineRule="exact"/>
              <w:jc w:val="center"/>
              <w:rPr>
                <w:rFonts w:ascii="Verdana" w:hAnsi="Verdana"/>
                <w:lang w:val="en-GB" w:eastAsia="nl-NL"/>
              </w:rPr>
            </w:pPr>
          </w:p>
        </w:tc>
      </w:tr>
      <w:tr w:rsidR="004F0385" w:rsidRPr="001E64C3" w:rsidTr="00D12944">
        <w:trPr>
          <w:jc w:val="center"/>
        </w:trPr>
        <w:tc>
          <w:tcPr>
            <w:tcW w:w="5077" w:type="dxa"/>
          </w:tcPr>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tc>
        <w:tc>
          <w:tcPr>
            <w:tcW w:w="3876" w:type="dxa"/>
          </w:tcPr>
          <w:p w:rsidR="004F0385" w:rsidRPr="001E64C3" w:rsidRDefault="004F0385" w:rsidP="008046FE">
            <w:pPr>
              <w:spacing w:line="280" w:lineRule="exact"/>
              <w:jc w:val="center"/>
              <w:rPr>
                <w:rFonts w:ascii="Verdana" w:hAnsi="Verdana"/>
                <w:lang w:val="en-GB" w:eastAsia="nl-NL"/>
              </w:rPr>
            </w:pPr>
          </w:p>
        </w:tc>
      </w:tr>
    </w:tbl>
    <w:p w:rsidR="004F0385" w:rsidRDefault="004F0385" w:rsidP="00F960FA">
      <w:pPr>
        <w:pStyle w:val="Titel"/>
      </w:pPr>
    </w:p>
    <w:p w:rsidR="00241209" w:rsidRPr="00241209" w:rsidRDefault="00241209" w:rsidP="00241209">
      <w:pPr>
        <w:rPr>
          <w:lang w:val="en-GB" w:eastAsia="nl-NL"/>
        </w:rPr>
      </w:pPr>
    </w:p>
    <w:p w:rsidR="00715DC6" w:rsidRDefault="002036AF" w:rsidP="00F960FA">
      <w:pPr>
        <w:pStyle w:val="Titel"/>
      </w:pPr>
      <w:r>
        <w:t xml:space="preserve">Attended events </w:t>
      </w:r>
      <w:r w:rsidR="00BF77F0">
        <w:t>October 2013</w:t>
      </w:r>
      <w:r w:rsidR="006402C3">
        <w:t xml:space="preserve"> – May 2014</w:t>
      </w:r>
    </w:p>
    <w:p w:rsidR="00D12944" w:rsidRPr="00D12944" w:rsidRDefault="00D12944" w:rsidP="00D12944">
      <w:pPr>
        <w:rPr>
          <w:lang w:val="en-GB" w:eastAsia="nl-NL"/>
        </w:rPr>
      </w:pPr>
    </w:p>
    <w:p w:rsidR="00051546" w:rsidRDefault="00051546" w:rsidP="00051546">
      <w:pPr>
        <w:pStyle w:val="Geenafstand"/>
        <w:numPr>
          <w:ilvl w:val="0"/>
          <w:numId w:val="1"/>
        </w:numPr>
        <w:rPr>
          <w:b/>
          <w:lang w:val="en-GB"/>
        </w:rPr>
      </w:pPr>
      <w:r w:rsidRPr="00051546">
        <w:rPr>
          <w:b/>
          <w:lang w:val="en-GB"/>
        </w:rPr>
        <w:t xml:space="preserve">Presentation of the European Commission Communication </w:t>
      </w:r>
      <w:r>
        <w:rPr>
          <w:b/>
          <w:lang w:val="en-GB"/>
        </w:rPr>
        <w:t>‘European Higher Education in the World’</w:t>
      </w:r>
    </w:p>
    <w:p w:rsidR="00051546" w:rsidRDefault="00051546" w:rsidP="00051546">
      <w:pPr>
        <w:pStyle w:val="Geenafstand"/>
        <w:rPr>
          <w:lang w:val="en-GB"/>
        </w:rPr>
      </w:pPr>
      <w:r>
        <w:rPr>
          <w:lang w:val="en-GB"/>
        </w:rPr>
        <w:t xml:space="preserve">By Mr </w:t>
      </w:r>
      <w:proofErr w:type="spellStart"/>
      <w:r>
        <w:rPr>
          <w:lang w:val="en-GB"/>
        </w:rPr>
        <w:t>Harald</w:t>
      </w:r>
      <w:proofErr w:type="spellEnd"/>
      <w:r>
        <w:rPr>
          <w:lang w:val="en-GB"/>
        </w:rPr>
        <w:t xml:space="preserve"> </w:t>
      </w:r>
      <w:proofErr w:type="spellStart"/>
      <w:r>
        <w:rPr>
          <w:lang w:val="en-GB"/>
        </w:rPr>
        <w:t>Hartung</w:t>
      </w:r>
      <w:proofErr w:type="spellEnd"/>
      <w:r>
        <w:rPr>
          <w:lang w:val="en-GB"/>
        </w:rPr>
        <w:t>, European Commission, DG EAC</w:t>
      </w:r>
      <w:r w:rsidR="00C13457">
        <w:rPr>
          <w:lang w:val="en-GB"/>
        </w:rPr>
        <w:t xml:space="preserve">  (Brussels, </w:t>
      </w:r>
      <w:proofErr w:type="spellStart"/>
      <w:r w:rsidR="00C13457">
        <w:rPr>
          <w:lang w:val="en-GB"/>
        </w:rPr>
        <w:t>Vlor</w:t>
      </w:r>
      <w:proofErr w:type="spellEnd"/>
      <w:r w:rsidR="00C13457">
        <w:rPr>
          <w:lang w:val="en-GB"/>
        </w:rPr>
        <w:t>, 5 December 2013)</w:t>
      </w:r>
    </w:p>
    <w:p w:rsidR="00051546" w:rsidRPr="00051546" w:rsidRDefault="00051546" w:rsidP="00051546">
      <w:pPr>
        <w:pStyle w:val="Geenafstand"/>
        <w:rPr>
          <w:lang w:val="en-GB"/>
        </w:rPr>
      </w:pPr>
    </w:p>
    <w:p w:rsidR="00051546" w:rsidRPr="006402C3" w:rsidRDefault="00051546" w:rsidP="00051546">
      <w:pPr>
        <w:rPr>
          <w:u w:val="single"/>
          <w:lang w:val="en-US"/>
        </w:rPr>
      </w:pPr>
      <w:r w:rsidRPr="006402C3">
        <w:rPr>
          <w:u w:val="single"/>
          <w:lang w:val="en-US"/>
        </w:rPr>
        <w:t>Why an internationalization strategy at EU-level?</w:t>
      </w:r>
    </w:p>
    <w:p w:rsidR="00051546" w:rsidRPr="006402C3" w:rsidRDefault="00051546" w:rsidP="00C13457">
      <w:pPr>
        <w:jc w:val="both"/>
        <w:rPr>
          <w:lang w:val="en-US"/>
        </w:rPr>
      </w:pPr>
      <w:r w:rsidRPr="006402C3">
        <w:rPr>
          <w:lang w:val="en-US"/>
        </w:rPr>
        <w:t xml:space="preserve">The EU hosts about 45 % of all the international students; this percentage seems to stay the same in spite of the changes in mobility flows.  What changes is the approach: students are more and more the ones in the driving seat: universities will have to adapt their offer to the students’ needs in order to stay competitive.  Employers see a lack of transversal skills with the graduates (communication skills, problem solving skills, team working).  Those are exactly the skills that students develop when they leave their home environment.  Students with international experience have more chances on the </w:t>
      </w:r>
      <w:proofErr w:type="spellStart"/>
      <w:r w:rsidRPr="006402C3">
        <w:rPr>
          <w:lang w:val="en-US"/>
        </w:rPr>
        <w:t>labour</w:t>
      </w:r>
      <w:proofErr w:type="spellEnd"/>
      <w:r w:rsidRPr="006402C3">
        <w:rPr>
          <w:lang w:val="en-US"/>
        </w:rPr>
        <w:t xml:space="preserve"> market. </w:t>
      </w:r>
    </w:p>
    <w:p w:rsidR="00051546" w:rsidRPr="006402C3" w:rsidRDefault="00051546" w:rsidP="00051546">
      <w:pPr>
        <w:rPr>
          <w:u w:val="single"/>
          <w:lang w:val="en-US"/>
        </w:rPr>
      </w:pPr>
      <w:r w:rsidRPr="006402C3">
        <w:rPr>
          <w:u w:val="single"/>
          <w:lang w:val="en-US"/>
        </w:rPr>
        <w:t xml:space="preserve">Pillars of </w:t>
      </w:r>
      <w:r w:rsidR="00C13457" w:rsidRPr="006402C3">
        <w:rPr>
          <w:u w:val="single"/>
          <w:lang w:val="en-US"/>
        </w:rPr>
        <w:t xml:space="preserve">a comprehensive internationalization </w:t>
      </w:r>
      <w:r w:rsidRPr="006402C3">
        <w:rPr>
          <w:u w:val="single"/>
          <w:lang w:val="en-US"/>
        </w:rPr>
        <w:t>strategy</w:t>
      </w:r>
    </w:p>
    <w:p w:rsidR="00051546" w:rsidRDefault="00051546" w:rsidP="00E21A07">
      <w:pPr>
        <w:pStyle w:val="Lijstalinea"/>
        <w:numPr>
          <w:ilvl w:val="0"/>
          <w:numId w:val="2"/>
        </w:numPr>
        <w:spacing w:after="160" w:line="259" w:lineRule="auto"/>
        <w:jc w:val="both"/>
      </w:pPr>
      <w:r>
        <w:t xml:space="preserve">International </w:t>
      </w:r>
      <w:proofErr w:type="spellStart"/>
      <w:r>
        <w:t>mobility</w:t>
      </w:r>
      <w:proofErr w:type="spellEnd"/>
    </w:p>
    <w:p w:rsidR="00051546" w:rsidRPr="006402C3" w:rsidRDefault="00051546" w:rsidP="00C13457">
      <w:pPr>
        <w:jc w:val="both"/>
        <w:rPr>
          <w:lang w:val="en-US"/>
        </w:rPr>
      </w:pPr>
      <w:r w:rsidRPr="006402C3">
        <w:rPr>
          <w:lang w:val="en-US"/>
        </w:rPr>
        <w:t>International mobility for students, staff and researchers; two-way mobility schemes; quality framework; more supportive visa procedures.</w:t>
      </w:r>
    </w:p>
    <w:p w:rsidR="00051546" w:rsidRPr="006402C3" w:rsidRDefault="00051546" w:rsidP="00E21A07">
      <w:pPr>
        <w:pStyle w:val="Lijstalinea"/>
        <w:numPr>
          <w:ilvl w:val="0"/>
          <w:numId w:val="2"/>
        </w:numPr>
        <w:spacing w:after="160" w:line="259" w:lineRule="auto"/>
        <w:jc w:val="both"/>
        <w:rPr>
          <w:lang w:val="en-US"/>
        </w:rPr>
      </w:pPr>
      <w:r w:rsidRPr="006402C3">
        <w:rPr>
          <w:lang w:val="en-US"/>
        </w:rPr>
        <w:t xml:space="preserve">Internationalization of </w:t>
      </w:r>
      <w:proofErr w:type="spellStart"/>
      <w:r w:rsidRPr="006402C3">
        <w:rPr>
          <w:lang w:val="en-US"/>
        </w:rPr>
        <w:t>curriuc</w:t>
      </w:r>
      <w:r w:rsidR="00D12944">
        <w:rPr>
          <w:lang w:val="en-US"/>
        </w:rPr>
        <w:t>ula</w:t>
      </w:r>
      <w:proofErr w:type="spellEnd"/>
      <w:r w:rsidR="00D12944">
        <w:rPr>
          <w:lang w:val="en-US"/>
        </w:rPr>
        <w:t xml:space="preserve"> and digital learning</w:t>
      </w:r>
    </w:p>
    <w:p w:rsidR="00051546" w:rsidRPr="006402C3" w:rsidRDefault="00051546" w:rsidP="00C13457">
      <w:pPr>
        <w:jc w:val="both"/>
        <w:rPr>
          <w:lang w:val="en-US"/>
        </w:rPr>
      </w:pPr>
      <w:r w:rsidRPr="006402C3">
        <w:rPr>
          <w:lang w:val="en-US"/>
        </w:rPr>
        <w:t>The aim is to put expertise together.</w:t>
      </w:r>
    </w:p>
    <w:p w:rsidR="00051546" w:rsidRPr="006402C3" w:rsidRDefault="00051546" w:rsidP="00C13457">
      <w:pPr>
        <w:jc w:val="both"/>
        <w:rPr>
          <w:lang w:val="en-US"/>
        </w:rPr>
      </w:pPr>
      <w:r w:rsidRPr="006402C3">
        <w:rPr>
          <w:lang w:val="en-US"/>
        </w:rPr>
        <w:t xml:space="preserve">Need </w:t>
      </w:r>
      <w:r w:rsidR="00D12944">
        <w:rPr>
          <w:lang w:val="en-US"/>
        </w:rPr>
        <w:t xml:space="preserve">for a certain level of mastery </w:t>
      </w:r>
      <w:r w:rsidRPr="006402C3">
        <w:rPr>
          <w:lang w:val="en-US"/>
        </w:rPr>
        <w:t>of the language of instruction  for students (B1) and for staff (B2).</w:t>
      </w:r>
    </w:p>
    <w:p w:rsidR="00051546" w:rsidRDefault="00051546" w:rsidP="00C13457">
      <w:pPr>
        <w:jc w:val="both"/>
      </w:pPr>
      <w:r w:rsidRPr="006402C3">
        <w:rPr>
          <w:lang w:val="en-US"/>
        </w:rPr>
        <w:t>ICT, OER (Open Educational Resources) and MOOC (Massive Open Online Courses) will radically change the work of universities.   Experiences of blended learning (MOOC combined with the presence</w:t>
      </w:r>
      <w:r w:rsidR="00D12944">
        <w:rPr>
          <w:lang w:val="en-US"/>
        </w:rPr>
        <w:t xml:space="preserve"> of a teacher to explain) proof</w:t>
      </w:r>
      <w:r w:rsidRPr="006402C3">
        <w:rPr>
          <w:lang w:val="en-US"/>
        </w:rPr>
        <w:t xml:space="preserve"> to be successful.  MOOC started originally in Germany, and is now developing fast in the US.  Positions in the EU are mixed.  In any case, the EU has to explore benefits and possibilities of MOOC’s, including the challenges (copyright, quality insurance, recognition..)  </w:t>
      </w:r>
      <w:r>
        <w:t xml:space="preserve">in order </w:t>
      </w:r>
      <w:proofErr w:type="spellStart"/>
      <w:r>
        <w:t>not</w:t>
      </w:r>
      <w:proofErr w:type="spellEnd"/>
      <w:r>
        <w:t xml:space="preserve"> </w:t>
      </w:r>
      <w:proofErr w:type="spellStart"/>
      <w:r>
        <w:t>to</w:t>
      </w:r>
      <w:proofErr w:type="spellEnd"/>
      <w:r>
        <w:t xml:space="preserve"> miss the train. </w:t>
      </w:r>
    </w:p>
    <w:p w:rsidR="00051546" w:rsidRDefault="00051546" w:rsidP="00E21A07">
      <w:pPr>
        <w:pStyle w:val="Lijstalinea"/>
        <w:numPr>
          <w:ilvl w:val="0"/>
          <w:numId w:val="2"/>
        </w:numPr>
        <w:spacing w:after="160" w:line="259" w:lineRule="auto"/>
        <w:jc w:val="both"/>
      </w:pPr>
      <w:r>
        <w:t xml:space="preserve">Strategic cooperation </w:t>
      </w:r>
      <w:proofErr w:type="spellStart"/>
      <w:r>
        <w:t>and</w:t>
      </w:r>
      <w:proofErr w:type="spellEnd"/>
      <w:r>
        <w:t xml:space="preserve"> partnerships</w:t>
      </w:r>
    </w:p>
    <w:p w:rsidR="00051546" w:rsidRPr="006402C3" w:rsidRDefault="00051546" w:rsidP="00C13457">
      <w:pPr>
        <w:jc w:val="both"/>
        <w:rPr>
          <w:lang w:val="en-US"/>
        </w:rPr>
      </w:pPr>
      <w:r w:rsidRPr="006402C3">
        <w:rPr>
          <w:lang w:val="en-US"/>
        </w:rPr>
        <w:lastRenderedPageBreak/>
        <w:t xml:space="preserve">The aim is to develop joint and double degree </w:t>
      </w:r>
      <w:proofErr w:type="spellStart"/>
      <w:r w:rsidRPr="006402C3">
        <w:rPr>
          <w:lang w:val="en-US"/>
        </w:rPr>
        <w:t>programmes</w:t>
      </w:r>
      <w:proofErr w:type="spellEnd"/>
      <w:r w:rsidRPr="006402C3">
        <w:rPr>
          <w:lang w:val="en-US"/>
        </w:rPr>
        <w:t xml:space="preserve">, which are very rewarding.  Focus also on international training opportunities with employers. </w:t>
      </w:r>
    </w:p>
    <w:p w:rsidR="00051546" w:rsidRPr="006402C3" w:rsidRDefault="00051546" w:rsidP="00C13457">
      <w:pPr>
        <w:jc w:val="both"/>
        <w:rPr>
          <w:u w:val="single"/>
          <w:lang w:val="en-US"/>
        </w:rPr>
      </w:pPr>
      <w:r w:rsidRPr="006402C3">
        <w:rPr>
          <w:u w:val="single"/>
          <w:lang w:val="en-US"/>
        </w:rPr>
        <w:t>Toolbox for the implementation of this strategy</w:t>
      </w:r>
    </w:p>
    <w:p w:rsidR="00051546" w:rsidRDefault="00051546" w:rsidP="00C13457">
      <w:pPr>
        <w:jc w:val="both"/>
      </w:pPr>
      <w:proofErr w:type="spellStart"/>
      <w:r>
        <w:t>Programmes</w:t>
      </w:r>
      <w:proofErr w:type="spellEnd"/>
    </w:p>
    <w:p w:rsidR="00051546" w:rsidRDefault="00051546" w:rsidP="00E21A07">
      <w:pPr>
        <w:pStyle w:val="Lijstalinea"/>
        <w:numPr>
          <w:ilvl w:val="0"/>
          <w:numId w:val="3"/>
        </w:numPr>
        <w:spacing w:after="160" w:line="259" w:lineRule="auto"/>
        <w:jc w:val="both"/>
      </w:pPr>
      <w:r>
        <w:t>Erasmus +</w:t>
      </w:r>
    </w:p>
    <w:p w:rsidR="00051546" w:rsidRDefault="00051546" w:rsidP="00E21A07">
      <w:pPr>
        <w:pStyle w:val="Lijstalinea"/>
        <w:numPr>
          <w:ilvl w:val="0"/>
          <w:numId w:val="3"/>
        </w:numPr>
        <w:spacing w:after="160" w:line="259" w:lineRule="auto"/>
        <w:jc w:val="both"/>
      </w:pPr>
      <w:r>
        <w:t xml:space="preserve">Marie </w:t>
      </w:r>
      <w:proofErr w:type="spellStart"/>
      <w:r>
        <w:t>Slodowska</w:t>
      </w:r>
      <w:proofErr w:type="spellEnd"/>
      <w:r>
        <w:t>-Curie</w:t>
      </w:r>
    </w:p>
    <w:p w:rsidR="00051546" w:rsidRDefault="00051546" w:rsidP="00E21A07">
      <w:pPr>
        <w:pStyle w:val="Lijstalinea"/>
        <w:numPr>
          <w:ilvl w:val="0"/>
          <w:numId w:val="3"/>
        </w:numPr>
        <w:spacing w:after="160" w:line="259" w:lineRule="auto"/>
        <w:jc w:val="both"/>
      </w:pPr>
      <w:r>
        <w:t>EIT</w:t>
      </w:r>
    </w:p>
    <w:p w:rsidR="00051546" w:rsidRDefault="00051546" w:rsidP="00C13457">
      <w:pPr>
        <w:jc w:val="both"/>
      </w:pPr>
      <w:r>
        <w:t>Actions</w:t>
      </w:r>
    </w:p>
    <w:p w:rsidR="00051546" w:rsidRDefault="00051546" w:rsidP="00E21A07">
      <w:pPr>
        <w:pStyle w:val="Lijstalinea"/>
        <w:numPr>
          <w:ilvl w:val="0"/>
          <w:numId w:val="3"/>
        </w:numPr>
        <w:spacing w:after="160" w:line="259" w:lineRule="auto"/>
        <w:jc w:val="both"/>
      </w:pPr>
      <w:r>
        <w:t xml:space="preserve">Credit </w:t>
      </w:r>
      <w:proofErr w:type="spellStart"/>
      <w:r>
        <w:t>mobility</w:t>
      </w:r>
      <w:proofErr w:type="spellEnd"/>
    </w:p>
    <w:p w:rsidR="00051546" w:rsidRDefault="00051546" w:rsidP="00E21A07">
      <w:pPr>
        <w:pStyle w:val="Lijstalinea"/>
        <w:numPr>
          <w:ilvl w:val="0"/>
          <w:numId w:val="3"/>
        </w:numPr>
        <w:spacing w:after="160" w:line="259" w:lineRule="auto"/>
        <w:jc w:val="both"/>
      </w:pPr>
      <w:r>
        <w:t xml:space="preserve">Joint master en PhD </w:t>
      </w:r>
      <w:proofErr w:type="spellStart"/>
      <w:r>
        <w:t>degree</w:t>
      </w:r>
      <w:proofErr w:type="spellEnd"/>
    </w:p>
    <w:p w:rsidR="00051546" w:rsidRDefault="00051546" w:rsidP="00E21A07">
      <w:pPr>
        <w:pStyle w:val="Lijstalinea"/>
        <w:numPr>
          <w:ilvl w:val="0"/>
          <w:numId w:val="3"/>
        </w:numPr>
        <w:spacing w:after="160" w:line="259" w:lineRule="auto"/>
        <w:jc w:val="both"/>
      </w:pPr>
      <w:r>
        <w:t>Strategic partnerships</w:t>
      </w:r>
    </w:p>
    <w:p w:rsidR="00051546" w:rsidRDefault="00051546" w:rsidP="00E21A07">
      <w:pPr>
        <w:pStyle w:val="Lijstalinea"/>
        <w:numPr>
          <w:ilvl w:val="0"/>
          <w:numId w:val="3"/>
        </w:numPr>
        <w:spacing w:after="160" w:line="259" w:lineRule="auto"/>
        <w:jc w:val="both"/>
      </w:pPr>
      <w:r>
        <w:t xml:space="preserve">Knowledge </w:t>
      </w:r>
      <w:proofErr w:type="spellStart"/>
      <w:r>
        <w:t>alliances</w:t>
      </w:r>
      <w:proofErr w:type="spellEnd"/>
      <w:r>
        <w:t xml:space="preserve"> </w:t>
      </w:r>
    </w:p>
    <w:p w:rsidR="00051546" w:rsidRPr="006402C3" w:rsidRDefault="00051546" w:rsidP="00E21A07">
      <w:pPr>
        <w:pStyle w:val="Lijstalinea"/>
        <w:numPr>
          <w:ilvl w:val="0"/>
          <w:numId w:val="3"/>
        </w:numPr>
        <w:spacing w:after="160" w:line="259" w:lineRule="auto"/>
        <w:jc w:val="both"/>
        <w:rPr>
          <w:lang w:val="en-US"/>
        </w:rPr>
      </w:pPr>
      <w:r w:rsidRPr="006402C3">
        <w:rPr>
          <w:lang w:val="en-US"/>
        </w:rPr>
        <w:t>Capacity building (cooperation with third country universities)</w:t>
      </w:r>
    </w:p>
    <w:p w:rsidR="00051546" w:rsidRDefault="00051546" w:rsidP="00E21A07">
      <w:pPr>
        <w:pStyle w:val="Lijstalinea"/>
        <w:numPr>
          <w:ilvl w:val="0"/>
          <w:numId w:val="3"/>
        </w:numPr>
        <w:spacing w:after="160" w:line="259" w:lineRule="auto"/>
        <w:jc w:val="both"/>
      </w:pPr>
      <w:r>
        <w:t>Policy support</w:t>
      </w:r>
    </w:p>
    <w:p w:rsidR="00051546" w:rsidRPr="006402C3" w:rsidRDefault="00051546" w:rsidP="001D77CC">
      <w:pPr>
        <w:jc w:val="both"/>
        <w:rPr>
          <w:lang w:val="en-US"/>
        </w:rPr>
      </w:pPr>
      <w:proofErr w:type="spellStart"/>
      <w:r w:rsidRPr="006402C3">
        <w:rPr>
          <w:lang w:val="en-US"/>
        </w:rPr>
        <w:t>Mr</w:t>
      </w:r>
      <w:proofErr w:type="spellEnd"/>
      <w:r w:rsidRPr="006402C3">
        <w:rPr>
          <w:lang w:val="en-US"/>
        </w:rPr>
        <w:t xml:space="preserve"> </w:t>
      </w:r>
      <w:proofErr w:type="spellStart"/>
      <w:r w:rsidRPr="006402C3">
        <w:rPr>
          <w:lang w:val="en-US"/>
        </w:rPr>
        <w:t>Hartung</w:t>
      </w:r>
      <w:proofErr w:type="spellEnd"/>
      <w:r w:rsidRPr="006402C3">
        <w:rPr>
          <w:lang w:val="en-US"/>
        </w:rPr>
        <w:t xml:space="preserve"> also pleads for strategic cooperation with alumni and for good use of U-</w:t>
      </w:r>
      <w:proofErr w:type="spellStart"/>
      <w:r w:rsidRPr="006402C3">
        <w:rPr>
          <w:lang w:val="en-US"/>
        </w:rPr>
        <w:t>Multirank</w:t>
      </w:r>
      <w:proofErr w:type="spellEnd"/>
      <w:r w:rsidRPr="006402C3">
        <w:rPr>
          <w:lang w:val="en-US"/>
        </w:rPr>
        <w:t xml:space="preserve"> (a search tool at the disposal of EU stakeholders: students, staff, enterprises).</w:t>
      </w:r>
    </w:p>
    <w:p w:rsidR="00051546" w:rsidRPr="006402C3" w:rsidRDefault="00051546" w:rsidP="00C13457">
      <w:pPr>
        <w:pStyle w:val="Geenafstand"/>
        <w:jc w:val="both"/>
        <w:rPr>
          <w:lang w:val="en-US"/>
        </w:rPr>
      </w:pPr>
    </w:p>
    <w:p w:rsidR="00695063" w:rsidRDefault="004512D4" w:rsidP="00695063">
      <w:pPr>
        <w:pStyle w:val="Geenafstand"/>
        <w:jc w:val="both"/>
        <w:rPr>
          <w:rStyle w:val="Hyperlink"/>
        </w:rPr>
      </w:pPr>
      <w:hyperlink r:id="rId10" w:history="1">
        <w:proofErr w:type="spellStart"/>
        <w:r w:rsidR="00695063" w:rsidRPr="00A567C1">
          <w:rPr>
            <w:rStyle w:val="Hyperlink"/>
          </w:rPr>
          <w:t>Ppt</w:t>
        </w:r>
        <w:proofErr w:type="spellEnd"/>
        <w:r w:rsidR="00695063" w:rsidRPr="00A567C1">
          <w:rPr>
            <w:rStyle w:val="Hyperlink"/>
          </w:rPr>
          <w:t xml:space="preserve"> of Mr </w:t>
        </w:r>
        <w:proofErr w:type="spellStart"/>
        <w:r w:rsidR="00695063" w:rsidRPr="00A567C1">
          <w:rPr>
            <w:rStyle w:val="Hyperlink"/>
          </w:rPr>
          <w:t>Hartung</w:t>
        </w:r>
        <w:proofErr w:type="spellEnd"/>
      </w:hyperlink>
    </w:p>
    <w:p w:rsidR="00D12944" w:rsidRDefault="00D12944" w:rsidP="00695063">
      <w:pPr>
        <w:pStyle w:val="Geenafstand"/>
        <w:jc w:val="both"/>
      </w:pPr>
    </w:p>
    <w:p w:rsidR="00695063" w:rsidRDefault="00695063" w:rsidP="00695063">
      <w:pPr>
        <w:pStyle w:val="Geenafstand"/>
        <w:jc w:val="both"/>
      </w:pPr>
    </w:p>
    <w:p w:rsidR="00695063" w:rsidRPr="005729CC" w:rsidRDefault="00695063" w:rsidP="00695063">
      <w:pPr>
        <w:pStyle w:val="Geenafstand"/>
        <w:numPr>
          <w:ilvl w:val="0"/>
          <w:numId w:val="1"/>
        </w:numPr>
        <w:rPr>
          <w:b/>
          <w:lang w:val="en-GB"/>
        </w:rPr>
      </w:pPr>
      <w:r w:rsidRPr="005729CC">
        <w:rPr>
          <w:b/>
          <w:lang w:val="en-GB"/>
        </w:rPr>
        <w:t>Presentation of the Education and Training Monitor 2013</w:t>
      </w:r>
    </w:p>
    <w:p w:rsidR="00695063" w:rsidRPr="003A064B" w:rsidRDefault="00695063" w:rsidP="001D77CC">
      <w:pPr>
        <w:jc w:val="both"/>
        <w:rPr>
          <w:lang w:val="en-US"/>
        </w:rPr>
      </w:pPr>
      <w:r w:rsidRPr="003A064B">
        <w:rPr>
          <w:lang w:val="en-US"/>
        </w:rPr>
        <w:t xml:space="preserve">By </w:t>
      </w:r>
      <w:proofErr w:type="spellStart"/>
      <w:r w:rsidRPr="003A064B">
        <w:rPr>
          <w:lang w:val="en-US"/>
        </w:rPr>
        <w:t>Mr</w:t>
      </w:r>
      <w:proofErr w:type="spellEnd"/>
      <w:r w:rsidRPr="003A064B">
        <w:rPr>
          <w:lang w:val="en-US"/>
        </w:rPr>
        <w:t xml:space="preserve"> Stan Van Alphen, European Commission, DG EAC (Brussels, executive committee meeting, 11 December 2013)</w:t>
      </w:r>
    </w:p>
    <w:p w:rsidR="00695063" w:rsidRDefault="00695063" w:rsidP="00695063">
      <w:pPr>
        <w:pStyle w:val="Geenafstand"/>
        <w:jc w:val="both"/>
        <w:rPr>
          <w:b/>
          <w:lang w:val="en-GB"/>
        </w:rPr>
      </w:pPr>
    </w:p>
    <w:p w:rsidR="00695063" w:rsidRDefault="004512D4" w:rsidP="00695063">
      <w:pPr>
        <w:spacing w:after="0" w:line="280" w:lineRule="exact"/>
        <w:jc w:val="both"/>
        <w:rPr>
          <w:rStyle w:val="Hyperlink"/>
          <w:rFonts w:ascii="Verdana" w:hAnsi="Verdana"/>
          <w:sz w:val="20"/>
        </w:rPr>
      </w:pPr>
      <w:hyperlink r:id="rId11" w:history="1">
        <w:proofErr w:type="spellStart"/>
        <w:r w:rsidR="00695063" w:rsidRPr="003A064B">
          <w:rPr>
            <w:rStyle w:val="Hyperlink"/>
            <w:rFonts w:ascii="Verdana" w:hAnsi="Verdana"/>
            <w:sz w:val="20"/>
          </w:rPr>
          <w:t>Ppt</w:t>
        </w:r>
        <w:proofErr w:type="spellEnd"/>
        <w:r w:rsidR="00695063" w:rsidRPr="003A064B">
          <w:rPr>
            <w:rStyle w:val="Hyperlink"/>
            <w:rFonts w:ascii="Verdana" w:hAnsi="Verdana"/>
            <w:sz w:val="20"/>
          </w:rPr>
          <w:t xml:space="preserve"> of Mr Van Alpen</w:t>
        </w:r>
      </w:hyperlink>
    </w:p>
    <w:p w:rsidR="00695063" w:rsidRDefault="00695063" w:rsidP="00695063">
      <w:pPr>
        <w:spacing w:after="0" w:line="280" w:lineRule="exact"/>
        <w:jc w:val="both"/>
        <w:rPr>
          <w:rFonts w:ascii="Verdana" w:hAnsi="Verdana"/>
          <w:sz w:val="20"/>
        </w:rPr>
      </w:pPr>
    </w:p>
    <w:p w:rsidR="00695063" w:rsidRDefault="00695063" w:rsidP="00695063">
      <w:pPr>
        <w:spacing w:after="0" w:line="280" w:lineRule="exact"/>
        <w:jc w:val="both"/>
        <w:rPr>
          <w:rFonts w:ascii="Verdana" w:hAnsi="Verdana"/>
          <w:sz w:val="20"/>
        </w:rPr>
      </w:pPr>
    </w:p>
    <w:p w:rsidR="00695063" w:rsidRPr="005729CC" w:rsidRDefault="00695063" w:rsidP="00695063">
      <w:pPr>
        <w:pStyle w:val="Geenafstand"/>
        <w:numPr>
          <w:ilvl w:val="0"/>
          <w:numId w:val="1"/>
        </w:numPr>
        <w:rPr>
          <w:b/>
          <w:lang w:val="en-GB"/>
        </w:rPr>
      </w:pPr>
      <w:r w:rsidRPr="005729CC">
        <w:rPr>
          <w:b/>
          <w:lang w:val="en-GB"/>
        </w:rPr>
        <w:t>Presentation of the OECD REPORT ‘</w:t>
      </w:r>
      <w:hyperlink r:id="rId12" w:tgtFrame="_blank" w:history="1">
        <w:r w:rsidRPr="005729CC">
          <w:rPr>
            <w:b/>
            <w:lang w:val="en-GB"/>
          </w:rPr>
          <w:t>Art for Art's Sake? The Impact of Arts Education</w:t>
        </w:r>
      </w:hyperlink>
      <w:r w:rsidRPr="005729CC">
        <w:rPr>
          <w:b/>
          <w:lang w:val="en-GB"/>
        </w:rPr>
        <w:t>’.</w:t>
      </w:r>
    </w:p>
    <w:p w:rsidR="00695063" w:rsidRDefault="00695063" w:rsidP="001D77CC">
      <w:pPr>
        <w:jc w:val="both"/>
        <w:rPr>
          <w:lang w:val="en-US"/>
        </w:rPr>
      </w:pPr>
      <w:r w:rsidRPr="003A064B">
        <w:rPr>
          <w:lang w:val="en-US"/>
        </w:rPr>
        <w:t xml:space="preserve">By </w:t>
      </w:r>
      <w:proofErr w:type="spellStart"/>
      <w:r w:rsidRPr="003A064B">
        <w:rPr>
          <w:lang w:val="en-US"/>
        </w:rPr>
        <w:t>Mr</w:t>
      </w:r>
      <w:proofErr w:type="spellEnd"/>
      <w:r w:rsidRPr="003A064B">
        <w:rPr>
          <w:lang w:val="en-US"/>
        </w:rPr>
        <w:t xml:space="preserve"> </w:t>
      </w:r>
      <w:proofErr w:type="spellStart"/>
      <w:r w:rsidRPr="003A064B">
        <w:rPr>
          <w:lang w:val="en-US"/>
        </w:rPr>
        <w:t>Stéphan</w:t>
      </w:r>
      <w:proofErr w:type="spellEnd"/>
      <w:r w:rsidRPr="003A064B">
        <w:rPr>
          <w:lang w:val="en-US"/>
        </w:rPr>
        <w:t xml:space="preserve"> Vincent-</w:t>
      </w:r>
      <w:proofErr w:type="spellStart"/>
      <w:r w:rsidRPr="003A064B">
        <w:rPr>
          <w:lang w:val="en-US"/>
        </w:rPr>
        <w:t>Lancrin</w:t>
      </w:r>
      <w:proofErr w:type="spellEnd"/>
      <w:r w:rsidRPr="003A064B">
        <w:rPr>
          <w:lang w:val="en-US"/>
        </w:rPr>
        <w:t>, co-author of the report.</w:t>
      </w:r>
    </w:p>
    <w:p w:rsidR="00347C5F" w:rsidRPr="001D77CC" w:rsidRDefault="00347C5F" w:rsidP="001D77CC">
      <w:pPr>
        <w:jc w:val="both"/>
        <w:rPr>
          <w:lang w:val="en-US"/>
        </w:rPr>
      </w:pPr>
      <w:r>
        <w:rPr>
          <w:lang w:val="en-US"/>
        </w:rPr>
        <w:t>Brussels, 12 December 2013</w:t>
      </w:r>
    </w:p>
    <w:p w:rsidR="00695063" w:rsidRPr="003A064B" w:rsidRDefault="00695063" w:rsidP="001D77CC">
      <w:pPr>
        <w:jc w:val="both"/>
        <w:rPr>
          <w:lang w:val="en-US"/>
        </w:rPr>
      </w:pPr>
      <w:r w:rsidRPr="003A064B">
        <w:rPr>
          <w:lang w:val="en-US"/>
        </w:rPr>
        <w:t>This report gives an overview of what is know</w:t>
      </w:r>
      <w:r w:rsidR="00D12944">
        <w:rPr>
          <w:lang w:val="en-US"/>
        </w:rPr>
        <w:t>n</w:t>
      </w:r>
      <w:r w:rsidRPr="003A064B">
        <w:rPr>
          <w:lang w:val="en-US"/>
        </w:rPr>
        <w:t xml:space="preserve"> by scientific research about the impact of arts education on the development on non-artistic competences (</w:t>
      </w:r>
      <w:proofErr w:type="spellStart"/>
      <w:r w:rsidRPr="003A064B">
        <w:rPr>
          <w:lang w:val="en-US"/>
        </w:rPr>
        <w:t>maths</w:t>
      </w:r>
      <w:proofErr w:type="spellEnd"/>
      <w:r w:rsidRPr="003A064B">
        <w:rPr>
          <w:lang w:val="en-US"/>
        </w:rPr>
        <w:t xml:space="preserve">, language, social competences). Besides, it is an explicit plead in </w:t>
      </w:r>
      <w:proofErr w:type="spellStart"/>
      <w:r w:rsidRPr="003A064B">
        <w:rPr>
          <w:lang w:val="en-US"/>
        </w:rPr>
        <w:t>favour</w:t>
      </w:r>
      <w:proofErr w:type="spellEnd"/>
      <w:r w:rsidRPr="003A064B">
        <w:rPr>
          <w:lang w:val="en-US"/>
        </w:rPr>
        <w:t xml:space="preserve"> of the intrinsic value of arts education.</w:t>
      </w:r>
    </w:p>
    <w:p w:rsidR="00695063" w:rsidRPr="003A064B" w:rsidRDefault="00695063" w:rsidP="00695063">
      <w:pPr>
        <w:pStyle w:val="Geenafstand"/>
        <w:jc w:val="both"/>
        <w:rPr>
          <w:b/>
          <w:lang w:val="en-US"/>
        </w:rPr>
      </w:pPr>
    </w:p>
    <w:p w:rsidR="00695063" w:rsidRPr="00695063" w:rsidRDefault="004512D4" w:rsidP="00695063">
      <w:pPr>
        <w:pStyle w:val="Geenafstand"/>
        <w:jc w:val="both"/>
        <w:rPr>
          <w:lang w:val="en-US"/>
        </w:rPr>
      </w:pPr>
      <w:hyperlink r:id="rId13" w:history="1">
        <w:proofErr w:type="spellStart"/>
        <w:r w:rsidR="00695063" w:rsidRPr="00695063">
          <w:rPr>
            <w:rStyle w:val="Hyperlink"/>
            <w:lang w:val="en-US"/>
          </w:rPr>
          <w:t>Ppt</w:t>
        </w:r>
        <w:proofErr w:type="spellEnd"/>
        <w:r w:rsidR="00695063" w:rsidRPr="00695063">
          <w:rPr>
            <w:rStyle w:val="Hyperlink"/>
            <w:lang w:val="en-US"/>
          </w:rPr>
          <w:t xml:space="preserve"> of </w:t>
        </w:r>
        <w:proofErr w:type="spellStart"/>
        <w:r w:rsidR="00695063" w:rsidRPr="00695063">
          <w:rPr>
            <w:rStyle w:val="Hyperlink"/>
            <w:lang w:val="en-US"/>
          </w:rPr>
          <w:t>Mr</w:t>
        </w:r>
        <w:proofErr w:type="spellEnd"/>
        <w:r w:rsidR="00695063" w:rsidRPr="00695063">
          <w:rPr>
            <w:rStyle w:val="Hyperlink"/>
            <w:lang w:val="en-US"/>
          </w:rPr>
          <w:t xml:space="preserve"> Vincent-</w:t>
        </w:r>
        <w:proofErr w:type="spellStart"/>
        <w:r w:rsidR="00695063" w:rsidRPr="00695063">
          <w:rPr>
            <w:rStyle w:val="Hyperlink"/>
            <w:lang w:val="en-US"/>
          </w:rPr>
          <w:t>Lancrin</w:t>
        </w:r>
        <w:proofErr w:type="spellEnd"/>
      </w:hyperlink>
      <w:r w:rsidR="00695063" w:rsidRPr="00695063">
        <w:rPr>
          <w:lang w:val="en-US"/>
        </w:rPr>
        <w:t xml:space="preserve"> </w:t>
      </w:r>
    </w:p>
    <w:p w:rsidR="00CD35C1" w:rsidRPr="006402C3" w:rsidRDefault="00CD35C1" w:rsidP="00C13457">
      <w:pPr>
        <w:pStyle w:val="Geenafstand"/>
        <w:jc w:val="both"/>
        <w:rPr>
          <w:lang w:val="en-US"/>
        </w:rPr>
      </w:pPr>
    </w:p>
    <w:p w:rsidR="00737834" w:rsidRPr="00737834" w:rsidRDefault="00737834" w:rsidP="00737834">
      <w:pPr>
        <w:pStyle w:val="Geenafstand"/>
        <w:jc w:val="both"/>
        <w:rPr>
          <w:b/>
          <w:lang w:val="en-GB"/>
        </w:rPr>
      </w:pPr>
    </w:p>
    <w:p w:rsidR="00737834" w:rsidRPr="00737834" w:rsidRDefault="00737834" w:rsidP="00695063">
      <w:pPr>
        <w:pStyle w:val="Geenafstand"/>
        <w:numPr>
          <w:ilvl w:val="0"/>
          <w:numId w:val="1"/>
        </w:numPr>
        <w:rPr>
          <w:b/>
          <w:lang w:val="en-GB"/>
        </w:rPr>
      </w:pPr>
      <w:r w:rsidRPr="00737834">
        <w:rPr>
          <w:b/>
          <w:lang w:val="en-GB"/>
        </w:rPr>
        <w:t>Bigger schools, better governance?</w:t>
      </w:r>
    </w:p>
    <w:p w:rsidR="00737834" w:rsidRPr="00D12944" w:rsidRDefault="00D12944" w:rsidP="00737834">
      <w:pPr>
        <w:pStyle w:val="Geenafstand"/>
        <w:jc w:val="both"/>
        <w:rPr>
          <w:lang w:val="en-GB"/>
        </w:rPr>
      </w:pPr>
      <w:r w:rsidRPr="00D12944">
        <w:rPr>
          <w:lang w:val="en-GB"/>
        </w:rPr>
        <w:t>Brussels, 14 March 2014</w:t>
      </w:r>
    </w:p>
    <w:p w:rsidR="00737834" w:rsidRPr="005964EE" w:rsidRDefault="00737834" w:rsidP="00737834">
      <w:pPr>
        <w:pStyle w:val="Geenafstand"/>
        <w:jc w:val="both"/>
        <w:rPr>
          <w:rFonts w:eastAsiaTheme="minorEastAsia"/>
          <w:lang w:eastAsia="nl-BE"/>
        </w:rPr>
      </w:pPr>
    </w:p>
    <w:p w:rsidR="00D12944" w:rsidRDefault="00D12944" w:rsidP="001D77CC">
      <w:pPr>
        <w:jc w:val="both"/>
        <w:rPr>
          <w:lang w:val="en-US"/>
        </w:rPr>
      </w:pPr>
      <w:r w:rsidRPr="00D12944">
        <w:rPr>
          <w:lang w:val="en-US"/>
        </w:rPr>
        <w:lastRenderedPageBreak/>
        <w:t xml:space="preserve">This round table has been organized by OVSG (Education Secretariat of Cities and </w:t>
      </w:r>
      <w:proofErr w:type="spellStart"/>
      <w:r w:rsidRPr="00D12944">
        <w:rPr>
          <w:lang w:val="en-US"/>
        </w:rPr>
        <w:t>Commuites</w:t>
      </w:r>
      <w:proofErr w:type="spellEnd"/>
      <w:r w:rsidRPr="00D12944">
        <w:rPr>
          <w:lang w:val="en-US"/>
        </w:rPr>
        <w:t xml:space="preserve"> of the Flemish Community) and by </w:t>
      </w:r>
      <w:proofErr w:type="spellStart"/>
      <w:r w:rsidRPr="00D12944">
        <w:rPr>
          <w:lang w:val="en-US"/>
        </w:rPr>
        <w:t>Vleva</w:t>
      </w:r>
      <w:proofErr w:type="spellEnd"/>
      <w:r w:rsidRPr="00D12944">
        <w:rPr>
          <w:lang w:val="en-US"/>
        </w:rPr>
        <w:t xml:space="preserve">, the Flemish-European Liaison Office. </w:t>
      </w:r>
    </w:p>
    <w:p w:rsidR="00D12944" w:rsidRDefault="00D12944" w:rsidP="001D77CC">
      <w:pPr>
        <w:jc w:val="both"/>
        <w:rPr>
          <w:lang w:val="en-US"/>
        </w:rPr>
      </w:pPr>
      <w:r w:rsidRPr="00D12944">
        <w:rPr>
          <w:lang w:val="en-US"/>
        </w:rPr>
        <w:t xml:space="preserve">In Flanders, in May 2013, the proposals has been launched to set up local school groups with on average 6000 pupils. </w:t>
      </w:r>
      <w:r>
        <w:rPr>
          <w:lang w:val="en-US"/>
        </w:rPr>
        <w:t xml:space="preserve"> The  round table was structured around  the following questions:</w:t>
      </w:r>
    </w:p>
    <w:p w:rsidR="00D12944" w:rsidRPr="004512D4" w:rsidRDefault="00D12944" w:rsidP="00E21A07">
      <w:pPr>
        <w:pStyle w:val="Lijstalinea"/>
        <w:numPr>
          <w:ilvl w:val="0"/>
          <w:numId w:val="3"/>
        </w:numPr>
        <w:spacing w:after="160" w:line="259" w:lineRule="auto"/>
        <w:jc w:val="both"/>
        <w:rPr>
          <w:lang w:val="en-US"/>
        </w:rPr>
      </w:pPr>
      <w:r w:rsidRPr="004512D4">
        <w:rPr>
          <w:lang w:val="en-US"/>
        </w:rPr>
        <w:t>Are bigger schools key for more efficient governance?</w:t>
      </w:r>
    </w:p>
    <w:p w:rsidR="00D12944" w:rsidRPr="004512D4" w:rsidRDefault="00D12944" w:rsidP="00E21A07">
      <w:pPr>
        <w:pStyle w:val="Lijstalinea"/>
        <w:numPr>
          <w:ilvl w:val="0"/>
          <w:numId w:val="3"/>
        </w:numPr>
        <w:spacing w:after="160" w:line="259" w:lineRule="auto"/>
        <w:jc w:val="both"/>
        <w:rPr>
          <w:lang w:val="en-US"/>
        </w:rPr>
      </w:pPr>
      <w:r w:rsidRPr="004512D4">
        <w:rPr>
          <w:lang w:val="en-US"/>
        </w:rPr>
        <w:t>Do bigger schools offer a better educational offer than smaller schools?</w:t>
      </w:r>
    </w:p>
    <w:p w:rsidR="00D12944" w:rsidRPr="004512D4" w:rsidRDefault="00D12944" w:rsidP="00E21A07">
      <w:pPr>
        <w:pStyle w:val="Lijstalinea"/>
        <w:numPr>
          <w:ilvl w:val="0"/>
          <w:numId w:val="3"/>
        </w:numPr>
        <w:spacing w:after="160" w:line="259" w:lineRule="auto"/>
        <w:jc w:val="both"/>
        <w:rPr>
          <w:lang w:val="en-US"/>
        </w:rPr>
      </w:pPr>
      <w:r w:rsidRPr="004512D4">
        <w:rPr>
          <w:lang w:val="en-US"/>
        </w:rPr>
        <w:t>Is human resources managements and management of infrastructure more efficient at a bigger scale?</w:t>
      </w:r>
    </w:p>
    <w:p w:rsidR="001D77CC" w:rsidRPr="001D77CC" w:rsidRDefault="00D12944" w:rsidP="00E21A07">
      <w:pPr>
        <w:pStyle w:val="Lijstalinea"/>
        <w:numPr>
          <w:ilvl w:val="0"/>
          <w:numId w:val="3"/>
        </w:numPr>
        <w:spacing w:after="160" w:line="259" w:lineRule="auto"/>
        <w:jc w:val="both"/>
        <w:rPr>
          <w:lang w:val="en-US"/>
        </w:rPr>
      </w:pPr>
      <w:r w:rsidRPr="001D77CC">
        <w:rPr>
          <w:lang w:val="en-US"/>
        </w:rPr>
        <w:t>What is</w:t>
      </w:r>
      <w:r w:rsidR="00F530DF" w:rsidRPr="001D77CC">
        <w:rPr>
          <w:lang w:val="en-US"/>
        </w:rPr>
        <w:t xml:space="preserve"> the role of local authorities? </w:t>
      </w:r>
    </w:p>
    <w:p w:rsidR="00F530DF" w:rsidRPr="001D77CC" w:rsidRDefault="00F530DF" w:rsidP="001D77CC">
      <w:pPr>
        <w:jc w:val="both"/>
        <w:rPr>
          <w:lang w:val="en-US"/>
        </w:rPr>
      </w:pPr>
      <w:r w:rsidRPr="001D77CC">
        <w:rPr>
          <w:lang w:val="en-US"/>
        </w:rPr>
        <w:t xml:space="preserve">Educational experts from the Netherlands, Scotland, Flanders and Sweden presented their policy practice. </w:t>
      </w:r>
    </w:p>
    <w:p w:rsidR="00F530DF" w:rsidRDefault="00F530DF" w:rsidP="00D12944">
      <w:pPr>
        <w:pStyle w:val="Geenafstand"/>
        <w:jc w:val="both"/>
        <w:rPr>
          <w:rFonts w:eastAsiaTheme="minorEastAsia"/>
          <w:lang w:val="en-US" w:eastAsia="nl-BE"/>
        </w:rPr>
      </w:pPr>
    </w:p>
    <w:p w:rsidR="00F530DF" w:rsidRDefault="004512D4" w:rsidP="00D12944">
      <w:pPr>
        <w:pStyle w:val="Geenafstand"/>
        <w:jc w:val="both"/>
        <w:rPr>
          <w:rFonts w:eastAsiaTheme="minorEastAsia"/>
          <w:lang w:val="en-US" w:eastAsia="nl-BE"/>
        </w:rPr>
      </w:pPr>
      <w:hyperlink r:id="rId14" w:history="1">
        <w:proofErr w:type="spellStart"/>
        <w:r w:rsidR="00F530DF" w:rsidRPr="00F530DF">
          <w:rPr>
            <w:rStyle w:val="Hyperlink"/>
            <w:rFonts w:eastAsiaTheme="minorEastAsia"/>
            <w:lang w:val="en-US" w:eastAsia="nl-BE"/>
          </w:rPr>
          <w:t>Programme</w:t>
        </w:r>
        <w:proofErr w:type="spellEnd"/>
        <w:r w:rsidR="00F530DF" w:rsidRPr="00F530DF">
          <w:rPr>
            <w:rStyle w:val="Hyperlink"/>
            <w:rFonts w:eastAsiaTheme="minorEastAsia"/>
            <w:lang w:val="en-US" w:eastAsia="nl-BE"/>
          </w:rPr>
          <w:t>, pictures and presentations</w:t>
        </w:r>
      </w:hyperlink>
      <w:r w:rsidR="00F530DF">
        <w:rPr>
          <w:rFonts w:eastAsiaTheme="minorEastAsia"/>
          <w:lang w:val="en-US" w:eastAsia="nl-BE"/>
        </w:rPr>
        <w:t xml:space="preserve"> </w:t>
      </w:r>
    </w:p>
    <w:p w:rsidR="00F530DF" w:rsidRPr="00F530DF" w:rsidRDefault="00F530DF" w:rsidP="00D12944">
      <w:pPr>
        <w:pStyle w:val="Geenafstand"/>
        <w:jc w:val="both"/>
        <w:rPr>
          <w:rFonts w:eastAsiaTheme="minorEastAsia"/>
          <w:lang w:val="en-US" w:eastAsia="nl-BE"/>
        </w:rPr>
      </w:pPr>
    </w:p>
    <w:p w:rsidR="005964EE" w:rsidRPr="00F530DF" w:rsidRDefault="005964EE" w:rsidP="00737834">
      <w:pPr>
        <w:pStyle w:val="Geenafstand"/>
        <w:jc w:val="both"/>
        <w:rPr>
          <w:b/>
          <w:lang w:val="en-US"/>
        </w:rPr>
      </w:pPr>
    </w:p>
    <w:p w:rsidR="005964EE" w:rsidRDefault="005964EE" w:rsidP="00695063">
      <w:pPr>
        <w:pStyle w:val="Geenafstand"/>
        <w:numPr>
          <w:ilvl w:val="0"/>
          <w:numId w:val="1"/>
        </w:numPr>
        <w:rPr>
          <w:b/>
          <w:lang w:val="en-GB"/>
        </w:rPr>
      </w:pPr>
      <w:r>
        <w:rPr>
          <w:b/>
          <w:lang w:val="en-GB"/>
        </w:rPr>
        <w:t>Digital wave: supporting a cultural shift in learning systems?</w:t>
      </w:r>
    </w:p>
    <w:p w:rsidR="005964EE" w:rsidRDefault="005964EE" w:rsidP="00737834">
      <w:pPr>
        <w:pStyle w:val="Geenafstand"/>
        <w:jc w:val="both"/>
        <w:rPr>
          <w:rFonts w:eastAsiaTheme="minorEastAsia"/>
          <w:lang w:val="en-US" w:eastAsia="nl-BE"/>
        </w:rPr>
      </w:pPr>
      <w:r w:rsidRPr="006402C3">
        <w:rPr>
          <w:rFonts w:eastAsiaTheme="minorEastAsia"/>
          <w:lang w:val="en-US" w:eastAsia="nl-BE"/>
        </w:rPr>
        <w:t>Policy debate, organized by EUCIS LLL, European Parliament, Brussels, 4 March 2014</w:t>
      </w:r>
    </w:p>
    <w:p w:rsidR="00F530DF" w:rsidRDefault="00F530DF" w:rsidP="00737834">
      <w:pPr>
        <w:pStyle w:val="Geenafstand"/>
        <w:jc w:val="both"/>
        <w:rPr>
          <w:rFonts w:eastAsiaTheme="minorEastAsia"/>
          <w:lang w:val="en-US" w:eastAsia="nl-BE"/>
        </w:rPr>
      </w:pPr>
    </w:p>
    <w:p w:rsidR="001D77CC" w:rsidRDefault="001D77CC" w:rsidP="00E21A07">
      <w:pPr>
        <w:jc w:val="both"/>
        <w:rPr>
          <w:lang w:val="en-US"/>
        </w:rPr>
      </w:pPr>
      <w:r>
        <w:rPr>
          <w:lang w:val="en-US"/>
        </w:rPr>
        <w:t>T</w:t>
      </w:r>
      <w:r w:rsidR="00F530DF" w:rsidRPr="00F530DF">
        <w:rPr>
          <w:lang w:val="en-US"/>
        </w:rPr>
        <w:t>his policy debate take</w:t>
      </w:r>
      <w:r>
        <w:rPr>
          <w:lang w:val="en-US"/>
        </w:rPr>
        <w:t>s</w:t>
      </w:r>
      <w:r w:rsidR="00F530DF" w:rsidRPr="00F530DF">
        <w:rPr>
          <w:lang w:val="en-US"/>
        </w:rPr>
        <w:t xml:space="preserve"> stock of the latest European policy developments i</w:t>
      </w:r>
      <w:r>
        <w:rPr>
          <w:lang w:val="en-US"/>
        </w:rPr>
        <w:t>n</w:t>
      </w:r>
      <w:r w:rsidR="00F530DF" w:rsidRPr="00F530DF">
        <w:rPr>
          <w:lang w:val="en-US"/>
        </w:rPr>
        <w:t xml:space="preserve"> the field of new technologies and lifelong learning, and deepen</w:t>
      </w:r>
      <w:r>
        <w:rPr>
          <w:lang w:val="en-US"/>
        </w:rPr>
        <w:t>s</w:t>
      </w:r>
      <w:r w:rsidR="00F530DF" w:rsidRPr="00F530DF">
        <w:rPr>
          <w:lang w:val="en-US"/>
        </w:rPr>
        <w:t xml:space="preserve"> the reflection on the direction to take in 2014 onwards. The 2013 Commission Communication on “Opening Up Education” as well as the recent actions undertaken in the framework of the Digital Agenda </w:t>
      </w:r>
      <w:r>
        <w:rPr>
          <w:lang w:val="en-US"/>
        </w:rPr>
        <w:t xml:space="preserve">are </w:t>
      </w:r>
      <w:r w:rsidR="00F530DF" w:rsidRPr="00F530DF">
        <w:rPr>
          <w:lang w:val="en-US"/>
        </w:rPr>
        <w:t xml:space="preserve">discussed, as well as several key questions: will new technologies really support a cultural shift in the way we teach and learn in Europe? How to make sure more accessible learning opportunities and quality standards go hand in hand? To prepare the debate, </w:t>
      </w:r>
      <w:r>
        <w:rPr>
          <w:lang w:val="en-US"/>
        </w:rPr>
        <w:t xml:space="preserve">participants were invited </w:t>
      </w:r>
      <w:r w:rsidR="00F530DF" w:rsidRPr="00F530DF">
        <w:rPr>
          <w:lang w:val="en-US"/>
        </w:rPr>
        <w:t xml:space="preserve"> to consult EUCIS-LLL </w:t>
      </w:r>
      <w:hyperlink r:id="rId15" w:history="1">
        <w:r w:rsidR="00F530DF" w:rsidRPr="00E21A07">
          <w:rPr>
            <w:rStyle w:val="Hyperlink"/>
            <w:lang w:val="en-US"/>
          </w:rPr>
          <w:t>position paper</w:t>
        </w:r>
      </w:hyperlink>
      <w:r>
        <w:rPr>
          <w:lang w:val="en-US"/>
        </w:rPr>
        <w:t xml:space="preserve"> on the topic. </w:t>
      </w:r>
    </w:p>
    <w:p w:rsidR="001D77CC" w:rsidRDefault="004512D4" w:rsidP="00737834">
      <w:pPr>
        <w:pStyle w:val="Geenafstand"/>
        <w:jc w:val="both"/>
        <w:rPr>
          <w:rFonts w:eastAsiaTheme="minorEastAsia"/>
          <w:lang w:val="en-US" w:eastAsia="nl-BE"/>
        </w:rPr>
      </w:pPr>
      <w:hyperlink r:id="rId16" w:history="1">
        <w:r w:rsidR="001D77CC" w:rsidRPr="001D77CC">
          <w:rPr>
            <w:rStyle w:val="Hyperlink"/>
            <w:rFonts w:eastAsiaTheme="minorEastAsia"/>
            <w:lang w:val="en-US" w:eastAsia="nl-BE"/>
          </w:rPr>
          <w:t>Webpage of the event</w:t>
        </w:r>
      </w:hyperlink>
    </w:p>
    <w:p w:rsidR="001D77CC" w:rsidRPr="006402C3" w:rsidRDefault="001D77CC" w:rsidP="00737834">
      <w:pPr>
        <w:pStyle w:val="Geenafstand"/>
        <w:jc w:val="both"/>
        <w:rPr>
          <w:rFonts w:eastAsiaTheme="minorEastAsia"/>
          <w:lang w:val="en-US" w:eastAsia="nl-BE"/>
        </w:rPr>
      </w:pPr>
    </w:p>
    <w:p w:rsidR="005964EE" w:rsidRPr="006402C3" w:rsidRDefault="005964EE" w:rsidP="00737834">
      <w:pPr>
        <w:pStyle w:val="Geenafstand"/>
        <w:jc w:val="both"/>
        <w:rPr>
          <w:rFonts w:eastAsiaTheme="minorEastAsia"/>
          <w:lang w:val="en-US" w:eastAsia="nl-BE"/>
        </w:rPr>
      </w:pPr>
    </w:p>
    <w:p w:rsidR="005964EE" w:rsidRDefault="005964EE" w:rsidP="00695063">
      <w:pPr>
        <w:pStyle w:val="Geenafstand"/>
        <w:numPr>
          <w:ilvl w:val="0"/>
          <w:numId w:val="1"/>
        </w:numPr>
        <w:rPr>
          <w:b/>
          <w:lang w:val="en-GB"/>
        </w:rPr>
      </w:pPr>
      <w:r w:rsidRPr="005964EE">
        <w:rPr>
          <w:b/>
          <w:lang w:val="en-GB"/>
        </w:rPr>
        <w:t xml:space="preserve">  Training session on Erasmus+</w:t>
      </w:r>
    </w:p>
    <w:p w:rsidR="005964EE" w:rsidRDefault="005964EE" w:rsidP="005964EE">
      <w:pPr>
        <w:pStyle w:val="Geenafstand"/>
        <w:jc w:val="both"/>
        <w:rPr>
          <w:rFonts w:eastAsiaTheme="minorEastAsia"/>
          <w:lang w:eastAsia="nl-BE"/>
        </w:rPr>
      </w:pPr>
      <w:r w:rsidRPr="005964EE">
        <w:rPr>
          <w:rFonts w:eastAsiaTheme="minorEastAsia"/>
          <w:lang w:eastAsia="nl-BE"/>
        </w:rPr>
        <w:t xml:space="preserve">Brussels, 5 </w:t>
      </w:r>
      <w:proofErr w:type="spellStart"/>
      <w:r w:rsidRPr="005964EE">
        <w:rPr>
          <w:rFonts w:eastAsiaTheme="minorEastAsia"/>
          <w:lang w:eastAsia="nl-BE"/>
        </w:rPr>
        <w:t>March</w:t>
      </w:r>
      <w:proofErr w:type="spellEnd"/>
      <w:r w:rsidRPr="005964EE">
        <w:rPr>
          <w:rFonts w:eastAsiaTheme="minorEastAsia"/>
          <w:lang w:eastAsia="nl-BE"/>
        </w:rPr>
        <w:t xml:space="preserve"> 2014</w:t>
      </w:r>
    </w:p>
    <w:p w:rsidR="007F716F" w:rsidRPr="001D77CC" w:rsidRDefault="007F716F" w:rsidP="007F716F">
      <w:pPr>
        <w:rPr>
          <w:rFonts w:ascii="Calibri" w:eastAsia="Calibri" w:hAnsi="Calibri" w:cs="Times New Roman"/>
          <w:sz w:val="24"/>
          <w:szCs w:val="24"/>
          <w:lang w:val="en-US" w:eastAsia="en-US"/>
        </w:rPr>
      </w:pPr>
      <w:r w:rsidRPr="007F716F">
        <w:rPr>
          <w:rFonts w:ascii="Calibri" w:eastAsia="Calibri" w:hAnsi="Calibri" w:cs="Times New Roman"/>
          <w:sz w:val="24"/>
          <w:szCs w:val="24"/>
          <w:lang w:val="en-US" w:eastAsia="en-US"/>
        </w:rPr>
        <w:t>Organized by EUCIS LLL, Brussels,   5 March 2014</w:t>
      </w:r>
    </w:p>
    <w:p w:rsidR="007F716F" w:rsidRPr="007F716F" w:rsidRDefault="007F716F" w:rsidP="007F716F">
      <w:pPr>
        <w:rPr>
          <w:rFonts w:ascii="Calibri" w:eastAsia="Calibri" w:hAnsi="Calibri" w:cs="Times New Roman"/>
          <w:lang w:val="en-US" w:eastAsia="en-US"/>
        </w:rPr>
      </w:pPr>
      <w:r w:rsidRPr="007F716F">
        <w:rPr>
          <w:rFonts w:ascii="Calibri" w:eastAsia="Calibri" w:hAnsi="Calibri" w:cs="Times New Roman"/>
          <w:lang w:val="en-US" w:eastAsia="en-US"/>
        </w:rPr>
        <w:t>Erasmus + in practice: seizing the opportunities for civil society</w:t>
      </w:r>
    </w:p>
    <w:p w:rsidR="007F716F" w:rsidRPr="001D77CC" w:rsidRDefault="001D77CC" w:rsidP="007F716F">
      <w:pPr>
        <w:rPr>
          <w:lang w:val="en-US"/>
        </w:rPr>
      </w:pPr>
      <w:r w:rsidRPr="001D77CC">
        <w:rPr>
          <w:lang w:val="en-US"/>
        </w:rPr>
        <w:t>The session focused</w:t>
      </w:r>
      <w:r w:rsidR="007F716F" w:rsidRPr="001D77CC">
        <w:rPr>
          <w:lang w:val="en-US"/>
        </w:rPr>
        <w:t xml:space="preserve"> on success factors and on the place given to European civil society </w:t>
      </w:r>
      <w:proofErr w:type="spellStart"/>
      <w:r w:rsidR="007F716F" w:rsidRPr="001D77CC">
        <w:rPr>
          <w:lang w:val="en-US"/>
        </w:rPr>
        <w:t>organisations</w:t>
      </w:r>
      <w:proofErr w:type="spellEnd"/>
      <w:r w:rsidR="007F716F" w:rsidRPr="001D77CC">
        <w:rPr>
          <w:lang w:val="en-US"/>
        </w:rPr>
        <w:t xml:space="preserve"> in the new </w:t>
      </w:r>
      <w:proofErr w:type="spellStart"/>
      <w:r w:rsidR="007F716F" w:rsidRPr="001D77CC">
        <w:rPr>
          <w:lang w:val="en-US"/>
        </w:rPr>
        <w:t>programme</w:t>
      </w:r>
      <w:proofErr w:type="spellEnd"/>
      <w:r w:rsidR="007F716F" w:rsidRPr="001D77CC">
        <w:rPr>
          <w:lang w:val="en-US"/>
        </w:rPr>
        <w:t xml:space="preserve">.  Presentations by </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 xml:space="preserve">Trine </w:t>
      </w:r>
      <w:proofErr w:type="spellStart"/>
      <w:r w:rsidRPr="004512D4">
        <w:rPr>
          <w:lang w:val="en-US"/>
        </w:rPr>
        <w:t>Jakobson</w:t>
      </w:r>
      <w:proofErr w:type="spellEnd"/>
      <w:r w:rsidRPr="004512D4">
        <w:rPr>
          <w:lang w:val="en-US"/>
        </w:rPr>
        <w:t>, Deputy Head of Unit ‘</w:t>
      </w:r>
      <w:proofErr w:type="spellStart"/>
      <w:r w:rsidRPr="004512D4">
        <w:rPr>
          <w:lang w:val="en-US"/>
        </w:rPr>
        <w:t>Programme</w:t>
      </w:r>
      <w:proofErr w:type="spellEnd"/>
      <w:r w:rsidRPr="004512D4">
        <w:rPr>
          <w:lang w:val="en-US"/>
        </w:rPr>
        <w:t xml:space="preserve"> Coordination Erasmus +’</w:t>
      </w:r>
    </w:p>
    <w:p w:rsidR="007F716F" w:rsidRPr="00E21A07" w:rsidRDefault="007F716F" w:rsidP="00E21A07">
      <w:pPr>
        <w:pStyle w:val="Lijstalinea"/>
        <w:numPr>
          <w:ilvl w:val="0"/>
          <w:numId w:val="3"/>
        </w:numPr>
        <w:spacing w:after="160" w:line="259" w:lineRule="auto"/>
        <w:jc w:val="both"/>
      </w:pPr>
      <w:r w:rsidRPr="00E21A07">
        <w:t>Suzy Vercammen, AEF- Europe</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 xml:space="preserve">Audrey </w:t>
      </w:r>
      <w:proofErr w:type="spellStart"/>
      <w:r w:rsidRPr="004512D4">
        <w:rPr>
          <w:lang w:val="en-US"/>
        </w:rPr>
        <w:t>Frith</w:t>
      </w:r>
      <w:proofErr w:type="spellEnd"/>
      <w:r w:rsidRPr="004512D4">
        <w:rPr>
          <w:lang w:val="en-US"/>
        </w:rPr>
        <w:t>, director of EUCIS LLL</w:t>
      </w:r>
    </w:p>
    <w:p w:rsidR="007F716F" w:rsidRPr="00E21A07" w:rsidRDefault="00A2426A" w:rsidP="00E21A07">
      <w:pPr>
        <w:pStyle w:val="Lijstalinea"/>
        <w:numPr>
          <w:ilvl w:val="0"/>
          <w:numId w:val="3"/>
        </w:numPr>
        <w:spacing w:after="160" w:line="259" w:lineRule="auto"/>
        <w:jc w:val="both"/>
      </w:pPr>
      <w:proofErr w:type="spellStart"/>
      <w:r w:rsidRPr="00E21A07">
        <w:t>Thierry</w:t>
      </w:r>
      <w:proofErr w:type="spellEnd"/>
      <w:r w:rsidRPr="00E21A07">
        <w:t xml:space="preserve"> </w:t>
      </w:r>
      <w:proofErr w:type="spellStart"/>
      <w:r w:rsidRPr="00E21A07">
        <w:t>D</w:t>
      </w:r>
      <w:r w:rsidR="007F716F" w:rsidRPr="00E21A07">
        <w:t>ufour</w:t>
      </w:r>
      <w:proofErr w:type="spellEnd"/>
      <w:r w:rsidR="007F716F" w:rsidRPr="00E21A07">
        <w:t xml:space="preserve">, Bureau International </w:t>
      </w:r>
      <w:proofErr w:type="spellStart"/>
      <w:r w:rsidR="007F716F" w:rsidRPr="00E21A07">
        <w:t>Jeunes</w:t>
      </w:r>
      <w:proofErr w:type="spellEnd"/>
      <w:r w:rsidR="007F716F" w:rsidRPr="00E21A07">
        <w:t xml:space="preserve"> Bruxelles</w:t>
      </w:r>
    </w:p>
    <w:p w:rsidR="007F716F" w:rsidRPr="00E21A07" w:rsidRDefault="007F716F" w:rsidP="00E21A07">
      <w:pPr>
        <w:pStyle w:val="Lijstalinea"/>
        <w:numPr>
          <w:ilvl w:val="0"/>
          <w:numId w:val="3"/>
        </w:numPr>
        <w:spacing w:after="160" w:line="259" w:lineRule="auto"/>
        <w:jc w:val="both"/>
      </w:pPr>
      <w:r w:rsidRPr="00E21A07">
        <w:t>Renilde Reynders, EPOS</w:t>
      </w:r>
    </w:p>
    <w:p w:rsidR="001D77CC" w:rsidRPr="00E21A07" w:rsidRDefault="001D77CC" w:rsidP="00E21A07">
      <w:pPr>
        <w:pStyle w:val="Lijstalinea"/>
        <w:spacing w:after="160" w:line="259" w:lineRule="auto"/>
        <w:ind w:left="1080"/>
        <w:jc w:val="both"/>
      </w:pPr>
    </w:p>
    <w:p w:rsidR="007F716F" w:rsidRPr="007F716F" w:rsidRDefault="007F716F" w:rsidP="007F716F">
      <w:pPr>
        <w:rPr>
          <w:rFonts w:ascii="Calibri" w:eastAsia="Calibri" w:hAnsi="Calibri" w:cs="Times New Roman"/>
          <w:sz w:val="24"/>
          <w:szCs w:val="24"/>
          <w:lang w:val="en-US" w:eastAsia="en-US"/>
        </w:rPr>
      </w:pPr>
      <w:r w:rsidRPr="007F716F">
        <w:rPr>
          <w:rFonts w:ascii="Calibri" w:eastAsia="Calibri" w:hAnsi="Calibri" w:cs="Times New Roman"/>
          <w:sz w:val="24"/>
          <w:szCs w:val="24"/>
          <w:lang w:val="en-US" w:eastAsia="en-US"/>
        </w:rPr>
        <w:lastRenderedPageBreak/>
        <w:t>Information on strategic partnerships, assessed by the national agencies:</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If a EU-wide organization applies for a strategic partnership, this application will be judged more severely than an application by a small partner (proportionality)</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There is a very limited budget for strategic partnerships. In Belgium, there is room for maybe three or four partnerships. (total budget in Flanders = 460.000 euro). Advice: apply for a strategic partnership in another EU country (as a lot of EU wide organizations are based in Brussel, and competition is tough). Apply in the country of one of the branch organizations.</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The budget enhanced with 40 %, but over the 7 years. The first year, the increase is very limited. After one year, the Commission will decide on increases, based on, amongst other things, the number of applications.</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 xml:space="preserve">National agencies don’t have the expertise to assess applications of bigger EU-wide projects. They need training, they don’t acquire extra staff or budget. They will have to organize training for their experts, as well as for the selected beneficiaries. </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 xml:space="preserve">To have a quality application does not guarantee funding. Some applications received 85 % by the experts, and still were not selected because of limited budget. </w:t>
      </w:r>
    </w:p>
    <w:p w:rsidR="001D77CC" w:rsidRPr="001D77CC" w:rsidRDefault="001D77CC" w:rsidP="001D77CC">
      <w:pPr>
        <w:pStyle w:val="Geenafstand"/>
        <w:ind w:left="720"/>
        <w:jc w:val="both"/>
        <w:rPr>
          <w:rFonts w:eastAsiaTheme="minorEastAsia"/>
          <w:lang w:val="en-US" w:eastAsia="nl-BE"/>
        </w:rPr>
      </w:pPr>
    </w:p>
    <w:p w:rsidR="007F716F" w:rsidRPr="007F716F" w:rsidRDefault="007F716F" w:rsidP="007F716F">
      <w:pPr>
        <w:rPr>
          <w:rFonts w:ascii="Calibri" w:eastAsia="Calibri" w:hAnsi="Calibri" w:cs="Times New Roman"/>
          <w:sz w:val="24"/>
          <w:szCs w:val="24"/>
          <w:lang w:val="en-US" w:eastAsia="en-US"/>
        </w:rPr>
      </w:pPr>
      <w:r w:rsidRPr="007F716F">
        <w:rPr>
          <w:rFonts w:ascii="Calibri" w:eastAsia="Calibri" w:hAnsi="Calibri" w:cs="Times New Roman"/>
          <w:sz w:val="24"/>
          <w:szCs w:val="24"/>
          <w:lang w:val="en-US" w:eastAsia="en-US"/>
        </w:rPr>
        <w:t>Success factors for applications (decentralized and centralized)</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 xml:space="preserve">Be clear and be coherent; </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 xml:space="preserve">Strong link with ET 2020 and Europe 2020: demonstrate how the WP will realize the EU objectives (pages 26 and 27 of the </w:t>
      </w:r>
      <w:proofErr w:type="spellStart"/>
      <w:r w:rsidRPr="004512D4">
        <w:rPr>
          <w:lang w:val="en-US"/>
        </w:rPr>
        <w:t>programme</w:t>
      </w:r>
      <w:proofErr w:type="spellEnd"/>
      <w:r w:rsidRPr="004512D4">
        <w:rPr>
          <w:lang w:val="en-US"/>
        </w:rPr>
        <w:t xml:space="preserve"> guide)</w:t>
      </w:r>
    </w:p>
    <w:p w:rsidR="007F716F" w:rsidRPr="00E21A07" w:rsidRDefault="007F716F" w:rsidP="00E21A07">
      <w:pPr>
        <w:pStyle w:val="Lijstalinea"/>
        <w:numPr>
          <w:ilvl w:val="0"/>
          <w:numId w:val="3"/>
        </w:numPr>
        <w:spacing w:after="160" w:line="259" w:lineRule="auto"/>
        <w:jc w:val="both"/>
      </w:pPr>
      <w:r w:rsidRPr="00E21A07">
        <w:t>Be excellent</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Prove impact; try to find ways to prove impact through measurable indicators</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Insist on the needs: WHY do you want money</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Be unique: don’t repeat what</w:t>
      </w:r>
      <w:r w:rsidR="001D77CC" w:rsidRPr="004512D4">
        <w:rPr>
          <w:lang w:val="en-US"/>
        </w:rPr>
        <w:t xml:space="preserve"> others do, check the compendia</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Be realistic in terms of staff</w:t>
      </w:r>
    </w:p>
    <w:p w:rsidR="007F716F" w:rsidRPr="00E21A07" w:rsidRDefault="007F716F" w:rsidP="00E21A07">
      <w:pPr>
        <w:pStyle w:val="Lijstalinea"/>
        <w:numPr>
          <w:ilvl w:val="0"/>
          <w:numId w:val="3"/>
        </w:numPr>
        <w:spacing w:after="160" w:line="259" w:lineRule="auto"/>
        <w:jc w:val="both"/>
      </w:pPr>
      <w:proofErr w:type="spellStart"/>
      <w:r w:rsidRPr="00E21A07">
        <w:t>Address</w:t>
      </w:r>
      <w:proofErr w:type="spellEnd"/>
      <w:r w:rsidRPr="00E21A07">
        <w:t xml:space="preserve"> </w:t>
      </w:r>
      <w:proofErr w:type="spellStart"/>
      <w:r w:rsidRPr="00E21A07">
        <w:t>equity</w:t>
      </w:r>
      <w:proofErr w:type="spellEnd"/>
      <w:r w:rsidRPr="00E21A07">
        <w:t xml:space="preserve"> </w:t>
      </w:r>
      <w:proofErr w:type="spellStart"/>
      <w:r w:rsidRPr="00E21A07">
        <w:t>and</w:t>
      </w:r>
      <w:proofErr w:type="spellEnd"/>
      <w:r w:rsidRPr="00E21A07">
        <w:t xml:space="preserve"> </w:t>
      </w:r>
      <w:proofErr w:type="spellStart"/>
      <w:r w:rsidRPr="00E21A07">
        <w:t>inclusion</w:t>
      </w:r>
      <w:proofErr w:type="spellEnd"/>
    </w:p>
    <w:p w:rsidR="007F716F" w:rsidRPr="00E21A07" w:rsidRDefault="007F716F" w:rsidP="00E21A07">
      <w:pPr>
        <w:pStyle w:val="Lijstalinea"/>
        <w:numPr>
          <w:ilvl w:val="0"/>
          <w:numId w:val="3"/>
        </w:numPr>
        <w:spacing w:after="160" w:line="259" w:lineRule="auto"/>
        <w:jc w:val="both"/>
      </w:pPr>
      <w:r w:rsidRPr="00E21A07">
        <w:t xml:space="preserve">Have a </w:t>
      </w:r>
      <w:proofErr w:type="spellStart"/>
      <w:r w:rsidRPr="00E21A07">
        <w:t>clear</w:t>
      </w:r>
      <w:proofErr w:type="spellEnd"/>
      <w:r w:rsidRPr="00E21A07">
        <w:t xml:space="preserve"> </w:t>
      </w:r>
      <w:proofErr w:type="spellStart"/>
      <w:r w:rsidRPr="00E21A07">
        <w:t>communication</w:t>
      </w:r>
      <w:proofErr w:type="spellEnd"/>
      <w:r w:rsidRPr="00E21A07">
        <w:t xml:space="preserve"> plan</w:t>
      </w:r>
    </w:p>
    <w:p w:rsidR="007F716F" w:rsidRPr="004512D4" w:rsidRDefault="007F716F" w:rsidP="00E21A07">
      <w:pPr>
        <w:pStyle w:val="Lijstalinea"/>
        <w:numPr>
          <w:ilvl w:val="0"/>
          <w:numId w:val="3"/>
        </w:numPr>
        <w:spacing w:after="160" w:line="259" w:lineRule="auto"/>
        <w:jc w:val="both"/>
        <w:rPr>
          <w:lang w:val="en-US"/>
        </w:rPr>
      </w:pPr>
      <w:r w:rsidRPr="004512D4">
        <w:rPr>
          <w:lang w:val="en-US"/>
        </w:rPr>
        <w:t xml:space="preserve">Use the logo of the </w:t>
      </w:r>
      <w:proofErr w:type="spellStart"/>
      <w:r w:rsidRPr="004512D4">
        <w:rPr>
          <w:lang w:val="en-US"/>
        </w:rPr>
        <w:t>programme</w:t>
      </w:r>
      <w:proofErr w:type="spellEnd"/>
      <w:r w:rsidRPr="004512D4">
        <w:rPr>
          <w:lang w:val="en-US"/>
        </w:rPr>
        <w:t xml:space="preserve"> for website, flyer, publications, ..  The European Commission asked the Agencies to be more strict on this point</w:t>
      </w:r>
    </w:p>
    <w:p w:rsidR="007F716F" w:rsidRPr="001D77CC" w:rsidRDefault="007F716F" w:rsidP="001D77CC">
      <w:pPr>
        <w:pStyle w:val="Geenafstand"/>
        <w:ind w:left="720"/>
        <w:jc w:val="both"/>
        <w:rPr>
          <w:rFonts w:eastAsiaTheme="minorEastAsia"/>
          <w:lang w:val="en-US" w:eastAsia="nl-BE"/>
        </w:rPr>
      </w:pPr>
    </w:p>
    <w:p w:rsidR="007F716F" w:rsidRDefault="00856A23" w:rsidP="00A2426A">
      <w:pPr>
        <w:pStyle w:val="Geenafstand"/>
        <w:numPr>
          <w:ilvl w:val="0"/>
          <w:numId w:val="1"/>
        </w:numPr>
        <w:rPr>
          <w:b/>
          <w:lang w:val="en-GB"/>
        </w:rPr>
      </w:pPr>
      <w:r w:rsidRPr="00A2426A">
        <w:rPr>
          <w:b/>
          <w:lang w:val="en-GB"/>
        </w:rPr>
        <w:t xml:space="preserve">Stakeholder meeting SIRIUS </w:t>
      </w:r>
      <w:proofErr w:type="spellStart"/>
      <w:r w:rsidRPr="00A2426A">
        <w:rPr>
          <w:b/>
          <w:lang w:val="en-GB"/>
        </w:rPr>
        <w:t>Vlor</w:t>
      </w:r>
      <w:proofErr w:type="spellEnd"/>
      <w:r w:rsidRPr="00A2426A">
        <w:rPr>
          <w:b/>
          <w:lang w:val="en-GB"/>
        </w:rPr>
        <w:t>, 19/3/2014</w:t>
      </w:r>
    </w:p>
    <w:p w:rsidR="007B316A" w:rsidRPr="001D77CC" w:rsidRDefault="001D77CC" w:rsidP="001D77CC">
      <w:pPr>
        <w:pStyle w:val="Geenafstand"/>
        <w:ind w:left="360"/>
        <w:rPr>
          <w:lang w:val="en-GB"/>
        </w:rPr>
      </w:pPr>
      <w:r w:rsidRPr="001D77CC">
        <w:rPr>
          <w:lang w:val="en-GB"/>
        </w:rPr>
        <w:t xml:space="preserve">Brussels, Flemish Education Council, 19 March 2014 </w:t>
      </w:r>
    </w:p>
    <w:p w:rsidR="007B316A" w:rsidRPr="007B316A" w:rsidRDefault="007B316A" w:rsidP="007B316A">
      <w:pPr>
        <w:pStyle w:val="Geenafstand"/>
        <w:ind w:left="360"/>
        <w:rPr>
          <w:b/>
          <w:lang w:val="en-GB"/>
        </w:rPr>
      </w:pPr>
    </w:p>
    <w:p w:rsidR="007B316A" w:rsidRPr="001D77CC" w:rsidRDefault="007B316A" w:rsidP="00E21A07">
      <w:pPr>
        <w:jc w:val="both"/>
        <w:rPr>
          <w:lang w:val="en-US"/>
        </w:rPr>
      </w:pPr>
      <w:r w:rsidRPr="001D77CC">
        <w:rPr>
          <w:lang w:val="en-US"/>
        </w:rPr>
        <w:t>The increased representation of people with a migrant background amongst education stakeholders in European schools is an important issue to the SIRIUS European policy network, and was highlighted as a common objective amongst the Brussels stakeholders in a SIRIUS meeting that took place in March 2013.</w:t>
      </w:r>
    </w:p>
    <w:p w:rsidR="007B316A" w:rsidRPr="001D77CC" w:rsidRDefault="007B316A" w:rsidP="00E21A07">
      <w:pPr>
        <w:jc w:val="both"/>
        <w:rPr>
          <w:lang w:val="en-US"/>
        </w:rPr>
      </w:pPr>
      <w:r w:rsidRPr="001D77CC">
        <w:rPr>
          <w:lang w:val="en-US"/>
        </w:rPr>
        <w:t>This is an important topic as immigrants and their descendants are under-represented in the education sector and in the organisations that influence school and education policy. Increased diversity within school leadership/staff/parental organisations will not only improve the attitudes of the native population, but also the outcomes of the students with a migrant background. Furthermore, it will increase the involvement of the immigrant community and improve social integration in general.</w:t>
      </w:r>
    </w:p>
    <w:p w:rsidR="007B316A" w:rsidRPr="001D77CC" w:rsidRDefault="007B316A" w:rsidP="001D77CC">
      <w:pPr>
        <w:pStyle w:val="Geenafstand"/>
        <w:ind w:left="360"/>
        <w:jc w:val="both"/>
        <w:rPr>
          <w:rFonts w:eastAsiaTheme="minorEastAsia"/>
          <w:lang w:val="en-US" w:eastAsia="nl-BE"/>
        </w:rPr>
      </w:pPr>
    </w:p>
    <w:p w:rsidR="007B316A" w:rsidRDefault="007B316A" w:rsidP="00E21A07">
      <w:pPr>
        <w:jc w:val="both"/>
        <w:rPr>
          <w:lang w:val="en-US"/>
        </w:rPr>
      </w:pPr>
      <w:r w:rsidRPr="001D77CC">
        <w:rPr>
          <w:lang w:val="en-US"/>
        </w:rPr>
        <w:t>The main objective for this meeting is to discuss practical and policy measures on how to effectively increase the diversity among educational practitioners in order to develop recommendations informing European and national policy makers about concrete steps to achieve these aims.</w:t>
      </w:r>
    </w:p>
    <w:p w:rsidR="001D77CC" w:rsidRPr="001D77CC" w:rsidRDefault="004512D4" w:rsidP="00E21A07">
      <w:pPr>
        <w:pStyle w:val="Geenafstand"/>
        <w:jc w:val="both"/>
        <w:rPr>
          <w:rFonts w:eastAsiaTheme="minorEastAsia"/>
          <w:lang w:val="en-US" w:eastAsia="nl-BE"/>
        </w:rPr>
      </w:pPr>
      <w:hyperlink r:id="rId17" w:history="1">
        <w:r w:rsidR="001D77CC" w:rsidRPr="001D77CC">
          <w:rPr>
            <w:rStyle w:val="Hyperlink"/>
            <w:rFonts w:eastAsiaTheme="minorEastAsia"/>
            <w:lang w:val="en-US" w:eastAsia="nl-BE"/>
          </w:rPr>
          <w:t>Report, summary, agenda, participants’ list and presentations</w:t>
        </w:r>
      </w:hyperlink>
      <w:r w:rsidR="001D77CC">
        <w:rPr>
          <w:rFonts w:eastAsiaTheme="minorEastAsia"/>
          <w:lang w:val="en-US" w:eastAsia="nl-BE"/>
        </w:rPr>
        <w:t xml:space="preserve"> </w:t>
      </w:r>
    </w:p>
    <w:p w:rsidR="007B316A" w:rsidRPr="001D77CC" w:rsidRDefault="007B316A" w:rsidP="001D77CC">
      <w:pPr>
        <w:pStyle w:val="Geenafstand"/>
        <w:ind w:left="360"/>
        <w:jc w:val="both"/>
        <w:rPr>
          <w:rFonts w:eastAsiaTheme="minorEastAsia"/>
          <w:lang w:val="en-US" w:eastAsia="nl-BE"/>
        </w:rPr>
      </w:pPr>
    </w:p>
    <w:p w:rsidR="00A2426A" w:rsidRDefault="00A2426A" w:rsidP="00A2426A">
      <w:pPr>
        <w:pStyle w:val="Geenafstand"/>
        <w:numPr>
          <w:ilvl w:val="0"/>
          <w:numId w:val="1"/>
        </w:numPr>
        <w:rPr>
          <w:b/>
          <w:lang w:val="en-GB"/>
        </w:rPr>
      </w:pPr>
      <w:r>
        <w:rPr>
          <w:b/>
          <w:lang w:val="en-GB"/>
        </w:rPr>
        <w:t>European Commission Stakeholder Group on Early School Leaving and on Early Childhood Education and Care</w:t>
      </w:r>
    </w:p>
    <w:p w:rsidR="00A2426A" w:rsidRPr="001D77CC" w:rsidRDefault="001D77CC" w:rsidP="00A2426A">
      <w:pPr>
        <w:pStyle w:val="Geenafstand"/>
        <w:ind w:left="720"/>
        <w:rPr>
          <w:lang w:val="en-GB"/>
        </w:rPr>
      </w:pPr>
      <w:r>
        <w:rPr>
          <w:lang w:val="en-GB"/>
        </w:rPr>
        <w:t xml:space="preserve">Brussels, </w:t>
      </w:r>
      <w:r w:rsidR="00A2426A" w:rsidRPr="001D77CC">
        <w:rPr>
          <w:lang w:val="en-GB"/>
        </w:rPr>
        <w:t>31 March 2014</w:t>
      </w:r>
    </w:p>
    <w:p w:rsidR="004512D4" w:rsidRPr="004512D4" w:rsidRDefault="004512D4" w:rsidP="004512D4">
      <w:pPr>
        <w:pStyle w:val="Geenafstand"/>
        <w:jc w:val="both"/>
        <w:rPr>
          <w:rFonts w:eastAsiaTheme="minorEastAsia"/>
          <w:lang w:val="en-US" w:eastAsia="nl-BE"/>
        </w:rPr>
      </w:pPr>
      <w:r w:rsidRPr="004512D4">
        <w:rPr>
          <w:rFonts w:eastAsiaTheme="minorEastAsia"/>
          <w:lang w:val="en-US" w:eastAsia="nl-BE"/>
        </w:rPr>
        <w:t xml:space="preserve">Meeting of the stakeholder group on school policy </w:t>
      </w:r>
    </w:p>
    <w:p w:rsidR="004512D4" w:rsidRPr="004512D4" w:rsidRDefault="004512D4" w:rsidP="004512D4">
      <w:pPr>
        <w:pStyle w:val="Geenafstand"/>
        <w:jc w:val="both"/>
        <w:rPr>
          <w:rFonts w:eastAsiaTheme="minorEastAsia"/>
          <w:lang w:val="en-US" w:eastAsia="nl-BE"/>
        </w:rPr>
      </w:pPr>
      <w:r w:rsidRPr="004512D4">
        <w:rPr>
          <w:rFonts w:eastAsiaTheme="minorEastAsia"/>
          <w:lang w:val="en-US" w:eastAsia="nl-BE"/>
        </w:rPr>
        <w:t>Brussels, 31 March 2014</w:t>
      </w:r>
    </w:p>
    <w:p w:rsidR="004512D4" w:rsidRPr="004512D4" w:rsidRDefault="004512D4" w:rsidP="004512D4">
      <w:pPr>
        <w:jc w:val="both"/>
        <w:rPr>
          <w:lang w:val="en-US"/>
        </w:rPr>
      </w:pPr>
      <w:r w:rsidRPr="004512D4">
        <w:rPr>
          <w:lang w:val="en-US"/>
        </w:rPr>
        <w:t>This is the new name of the stakeholder group on early childhood education and care and on early school leaving.</w:t>
      </w:r>
    </w:p>
    <w:p w:rsidR="004512D4" w:rsidRPr="004512D4" w:rsidRDefault="004512D4" w:rsidP="004512D4">
      <w:pPr>
        <w:jc w:val="both"/>
        <w:rPr>
          <w:lang w:val="en-US"/>
        </w:rPr>
      </w:pPr>
      <w:r w:rsidRPr="004512D4">
        <w:rPr>
          <w:lang w:val="en-US"/>
        </w:rPr>
        <w:t xml:space="preserve">Presentations by Nora </w:t>
      </w:r>
      <w:proofErr w:type="spellStart"/>
      <w:r w:rsidRPr="004512D4">
        <w:rPr>
          <w:lang w:val="en-US"/>
        </w:rPr>
        <w:t>Milotay</w:t>
      </w:r>
      <w:proofErr w:type="spellEnd"/>
      <w:r w:rsidRPr="004512D4">
        <w:rPr>
          <w:lang w:val="en-US"/>
        </w:rPr>
        <w:t xml:space="preserve">, coordinator of the thematic working group on ECEC and Annalisa </w:t>
      </w:r>
      <w:proofErr w:type="spellStart"/>
      <w:r w:rsidRPr="004512D4">
        <w:rPr>
          <w:lang w:val="en-US"/>
        </w:rPr>
        <w:t>Cannoni</w:t>
      </w:r>
      <w:proofErr w:type="spellEnd"/>
      <w:r w:rsidRPr="004512D4">
        <w:rPr>
          <w:lang w:val="en-US"/>
        </w:rPr>
        <w:t>, coordinator of the thematic working group on ESL.</w:t>
      </w:r>
    </w:p>
    <w:p w:rsidR="004512D4" w:rsidRPr="004512D4" w:rsidRDefault="004512D4" w:rsidP="004512D4">
      <w:pPr>
        <w:jc w:val="both"/>
        <w:rPr>
          <w:u w:val="single"/>
          <w:lang w:val="en-US"/>
        </w:rPr>
      </w:pPr>
      <w:r w:rsidRPr="004512D4">
        <w:rPr>
          <w:u w:val="single"/>
          <w:lang w:val="en-US"/>
        </w:rPr>
        <w:t>Introduction by the head of unit</w:t>
      </w:r>
    </w:p>
    <w:p w:rsidR="004512D4" w:rsidRPr="004512D4" w:rsidRDefault="004512D4" w:rsidP="004512D4">
      <w:pPr>
        <w:jc w:val="both"/>
        <w:rPr>
          <w:lang w:val="en-US"/>
        </w:rPr>
      </w:pPr>
      <w:r w:rsidRPr="004512D4">
        <w:rPr>
          <w:lang w:val="en-US"/>
        </w:rPr>
        <w:t xml:space="preserve">The reason of being of this ‘school policy’ group is the objective to enhance the cooperation in the field of school education (a kind of Bologna or Copenhagen for school education). </w:t>
      </w:r>
    </w:p>
    <w:p w:rsidR="004512D4" w:rsidRPr="004512D4" w:rsidRDefault="004512D4" w:rsidP="004512D4">
      <w:pPr>
        <w:jc w:val="both"/>
        <w:rPr>
          <w:lang w:val="en-US"/>
        </w:rPr>
      </w:pPr>
      <w:r w:rsidRPr="004512D4">
        <w:rPr>
          <w:lang w:val="en-US"/>
        </w:rPr>
        <w:t xml:space="preserve">In all the activities, there is an important focus on migration issues. Amongst the participants, there are a lot of representatives of Roma and migrant organizations. </w:t>
      </w:r>
    </w:p>
    <w:p w:rsidR="004512D4" w:rsidRPr="004512D4" w:rsidRDefault="004512D4" w:rsidP="004512D4">
      <w:pPr>
        <w:jc w:val="both"/>
        <w:rPr>
          <w:u w:val="single"/>
          <w:lang w:val="en-US"/>
        </w:rPr>
      </w:pPr>
      <w:r w:rsidRPr="004512D4">
        <w:rPr>
          <w:u w:val="single"/>
          <w:lang w:val="en-US"/>
        </w:rPr>
        <w:t>Towards a European Quality Framework in Early Childhood Education and Care</w:t>
      </w:r>
    </w:p>
    <w:p w:rsidR="004512D4" w:rsidRPr="004512D4" w:rsidRDefault="004512D4" w:rsidP="004512D4">
      <w:pPr>
        <w:jc w:val="both"/>
        <w:rPr>
          <w:lang w:val="en-US"/>
        </w:rPr>
      </w:pPr>
      <w:r w:rsidRPr="004512D4">
        <w:rPr>
          <w:lang w:val="en-US"/>
        </w:rPr>
        <w:t xml:space="preserve">Annexed: DOC 015, </w:t>
      </w:r>
      <w:proofErr w:type="spellStart"/>
      <w:r w:rsidRPr="004512D4">
        <w:rPr>
          <w:lang w:val="en-US"/>
        </w:rPr>
        <w:t>ppt</w:t>
      </w:r>
      <w:proofErr w:type="spellEnd"/>
      <w:r w:rsidRPr="004512D4">
        <w:rPr>
          <w:lang w:val="en-US"/>
        </w:rPr>
        <w:t xml:space="preserve"> presentation</w:t>
      </w:r>
    </w:p>
    <w:p w:rsidR="004512D4" w:rsidRPr="004512D4" w:rsidRDefault="004512D4" w:rsidP="004512D4">
      <w:pPr>
        <w:jc w:val="both"/>
        <w:rPr>
          <w:lang w:val="en-US"/>
        </w:rPr>
      </w:pPr>
      <w:r w:rsidRPr="004512D4">
        <w:rPr>
          <w:lang w:val="en-US"/>
        </w:rPr>
        <w:t xml:space="preserve">The work of the thematic working group on ECEC resulted in a number of statement related to access, workforce, curriculum, evaluation and monitoring, governance and funding. All the statements are in the annexed presentation. </w:t>
      </w:r>
    </w:p>
    <w:p w:rsidR="004512D4" w:rsidRPr="004512D4" w:rsidRDefault="004512D4" w:rsidP="004512D4">
      <w:pPr>
        <w:jc w:val="both"/>
        <w:rPr>
          <w:lang w:val="en-US"/>
        </w:rPr>
      </w:pPr>
      <w:r w:rsidRPr="004512D4">
        <w:rPr>
          <w:lang w:val="en-US"/>
        </w:rPr>
        <w:t>Next steps: There will be a stakeholders consultation on ECEC, and this will probably be one of the priorities of the Italian Presidency of the EU.</w:t>
      </w:r>
    </w:p>
    <w:p w:rsidR="004512D4" w:rsidRPr="004512D4" w:rsidRDefault="004512D4" w:rsidP="004512D4">
      <w:pPr>
        <w:jc w:val="both"/>
        <w:rPr>
          <w:u w:val="single"/>
          <w:lang w:val="en-US"/>
        </w:rPr>
      </w:pPr>
      <w:r w:rsidRPr="004512D4">
        <w:rPr>
          <w:u w:val="single"/>
          <w:lang w:val="en-US"/>
        </w:rPr>
        <w:t>Update on most recent developments in ESL and Teacher Education (TE)</w:t>
      </w:r>
    </w:p>
    <w:p w:rsidR="004512D4" w:rsidRPr="004512D4" w:rsidRDefault="004512D4" w:rsidP="004512D4">
      <w:pPr>
        <w:jc w:val="both"/>
        <w:rPr>
          <w:lang w:val="en-US"/>
        </w:rPr>
      </w:pPr>
      <w:r w:rsidRPr="004512D4">
        <w:rPr>
          <w:lang w:val="en-US"/>
        </w:rPr>
        <w:t xml:space="preserve">Annexed: DOC 016, </w:t>
      </w:r>
      <w:proofErr w:type="spellStart"/>
      <w:r w:rsidRPr="004512D4">
        <w:rPr>
          <w:lang w:val="en-US"/>
        </w:rPr>
        <w:t>ppt</w:t>
      </w:r>
      <w:proofErr w:type="spellEnd"/>
      <w:r w:rsidRPr="004512D4">
        <w:rPr>
          <w:lang w:val="en-US"/>
        </w:rPr>
        <w:t xml:space="preserve"> presentation</w:t>
      </w:r>
    </w:p>
    <w:p w:rsidR="004512D4" w:rsidRPr="004512D4" w:rsidRDefault="004512D4" w:rsidP="004512D4">
      <w:pPr>
        <w:jc w:val="both"/>
        <w:rPr>
          <w:lang w:val="en-US"/>
        </w:rPr>
      </w:pPr>
      <w:r w:rsidRPr="004512D4">
        <w:rPr>
          <w:lang w:val="en-US"/>
        </w:rPr>
        <w:t>The final report of the Thematic Working Group on ESL is presented (DOC 017), as well as the  two reports of the Thematic Working Group on ‘Teacher Professional Development’: ‘Supporting teacher educators for better learning outcomes’ (DOC 018) and ‘Supporting teacher competence development for better learning outcomes’ (DOC 019).</w:t>
      </w:r>
    </w:p>
    <w:p w:rsidR="004512D4" w:rsidRPr="004512D4" w:rsidRDefault="004512D4" w:rsidP="004512D4">
      <w:pPr>
        <w:jc w:val="both"/>
        <w:rPr>
          <w:u w:val="single"/>
          <w:lang w:val="en-US"/>
        </w:rPr>
      </w:pPr>
      <w:r w:rsidRPr="004512D4">
        <w:rPr>
          <w:u w:val="single"/>
          <w:lang w:val="en-US"/>
        </w:rPr>
        <w:t>Plenary discussion on possible contribution of stakeholders</w:t>
      </w:r>
    </w:p>
    <w:p w:rsidR="004512D4" w:rsidRPr="004512D4" w:rsidRDefault="004512D4" w:rsidP="004512D4">
      <w:pPr>
        <w:jc w:val="both"/>
        <w:rPr>
          <w:lang w:val="en-US"/>
        </w:rPr>
      </w:pPr>
      <w:r w:rsidRPr="004512D4">
        <w:rPr>
          <w:lang w:val="en-US"/>
        </w:rPr>
        <w:t xml:space="preserve">Bottom line of the discussion: participation of stakeholders offers benefits for all: stakeholders benefit from the support of the Commission; the Commission benefits from the input by the stakeholders. </w:t>
      </w:r>
    </w:p>
    <w:p w:rsidR="004512D4" w:rsidRPr="004512D4" w:rsidRDefault="004512D4" w:rsidP="004512D4">
      <w:pPr>
        <w:jc w:val="both"/>
        <w:rPr>
          <w:lang w:val="en-US"/>
        </w:rPr>
      </w:pPr>
      <w:r w:rsidRPr="004512D4">
        <w:rPr>
          <w:lang w:val="en-US"/>
        </w:rPr>
        <w:lastRenderedPageBreak/>
        <w:t>How does the European Commission see further involvement of stakeholders? The Commission wants the cooperation with stakeholders to be very concrete, and take  stakeholders viewpoints to the discussions at Council level. Stakeholders are the eyes of the Community to the reality. Build more structured interaction with stakeholders is an important concern for the European Commission.</w:t>
      </w:r>
    </w:p>
    <w:p w:rsidR="004512D4" w:rsidRPr="004512D4" w:rsidRDefault="004512D4" w:rsidP="004512D4">
      <w:pPr>
        <w:jc w:val="both"/>
        <w:rPr>
          <w:lang w:val="en-US"/>
        </w:rPr>
      </w:pPr>
      <w:r w:rsidRPr="004512D4">
        <w:rPr>
          <w:lang w:val="en-US"/>
        </w:rPr>
        <w:t xml:space="preserve">For this Working Group, the Commission will try to  enhance the interaction via Synapse. The Commission wanted Synapse to be a real communication tool between the Commission, members of the Thematic Working Group and members of the Stakeholders Working Group. But the names of the members of the Thematic Working Group cannot be published, so it is difficult to open Synapse to TWG and SG group members.  The Commission is working to resolve this logistical problem.  They will also look into the development of new and better online communication tools. </w:t>
      </w:r>
    </w:p>
    <w:p w:rsidR="004512D4" w:rsidRPr="004512D4" w:rsidRDefault="004512D4" w:rsidP="004512D4">
      <w:pPr>
        <w:jc w:val="both"/>
        <w:rPr>
          <w:u w:val="single"/>
          <w:lang w:val="en-US"/>
        </w:rPr>
      </w:pPr>
      <w:r w:rsidRPr="004512D4">
        <w:rPr>
          <w:u w:val="single"/>
          <w:lang w:val="en-US"/>
        </w:rPr>
        <w:t>Presentation of Erasmus +</w:t>
      </w:r>
    </w:p>
    <w:p w:rsidR="004512D4" w:rsidRPr="004512D4" w:rsidRDefault="004512D4" w:rsidP="004512D4">
      <w:pPr>
        <w:jc w:val="both"/>
        <w:rPr>
          <w:lang w:val="en-US"/>
        </w:rPr>
      </w:pPr>
      <w:r w:rsidRPr="004512D4">
        <w:rPr>
          <w:lang w:val="en-US"/>
        </w:rPr>
        <w:t xml:space="preserve">By Katerina </w:t>
      </w:r>
      <w:proofErr w:type="spellStart"/>
      <w:r w:rsidRPr="004512D4">
        <w:rPr>
          <w:lang w:val="en-US"/>
        </w:rPr>
        <w:t>Kapounova</w:t>
      </w:r>
      <w:proofErr w:type="spellEnd"/>
    </w:p>
    <w:p w:rsidR="004512D4" w:rsidRPr="004512D4" w:rsidRDefault="004512D4" w:rsidP="004512D4">
      <w:pPr>
        <w:jc w:val="both"/>
        <w:rPr>
          <w:lang w:val="en-US"/>
        </w:rPr>
      </w:pPr>
      <w:r w:rsidRPr="004512D4">
        <w:rPr>
          <w:lang w:val="en-US"/>
        </w:rPr>
        <w:t xml:space="preserve">Apart from technical information, </w:t>
      </w:r>
      <w:proofErr w:type="spellStart"/>
      <w:r w:rsidRPr="004512D4">
        <w:rPr>
          <w:lang w:val="en-US"/>
        </w:rPr>
        <w:t>Mrs</w:t>
      </w:r>
      <w:proofErr w:type="spellEnd"/>
      <w:r w:rsidRPr="004512D4">
        <w:rPr>
          <w:lang w:val="en-US"/>
        </w:rPr>
        <w:t xml:space="preserve"> </w:t>
      </w:r>
      <w:proofErr w:type="spellStart"/>
      <w:r w:rsidRPr="004512D4">
        <w:rPr>
          <w:lang w:val="en-US"/>
        </w:rPr>
        <w:t>Kapounova</w:t>
      </w:r>
      <w:proofErr w:type="spellEnd"/>
      <w:r w:rsidRPr="004512D4">
        <w:rPr>
          <w:lang w:val="en-US"/>
        </w:rPr>
        <w:t xml:space="preserve"> stresses the increased importance of the link of the funded actions and projects with EU policy lines.</w:t>
      </w:r>
    </w:p>
    <w:p w:rsidR="004512D4" w:rsidRPr="004512D4" w:rsidRDefault="004512D4" w:rsidP="004512D4">
      <w:pPr>
        <w:jc w:val="both"/>
        <w:rPr>
          <w:lang w:val="en-US"/>
        </w:rPr>
      </w:pPr>
      <w:bookmarkStart w:id="0" w:name="_GoBack"/>
      <w:bookmarkEnd w:id="0"/>
    </w:p>
    <w:p w:rsidR="004512D4" w:rsidRPr="004512D4" w:rsidRDefault="004512D4" w:rsidP="004512D4">
      <w:pPr>
        <w:jc w:val="both"/>
        <w:rPr>
          <w:lang w:val="en-US"/>
        </w:rPr>
      </w:pPr>
    </w:p>
    <w:p w:rsidR="00347C5F" w:rsidRPr="007F716F" w:rsidRDefault="00347C5F" w:rsidP="004512D4">
      <w:pPr>
        <w:jc w:val="both"/>
        <w:rPr>
          <w:lang w:val="en-US"/>
        </w:rPr>
      </w:pPr>
    </w:p>
    <w:sectPr w:rsidR="00347C5F" w:rsidRPr="007F716F" w:rsidSect="009162BF">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44" w:rsidRDefault="00D12944" w:rsidP="00D12944">
      <w:pPr>
        <w:spacing w:after="0" w:line="240" w:lineRule="auto"/>
      </w:pPr>
      <w:r>
        <w:separator/>
      </w:r>
    </w:p>
  </w:endnote>
  <w:endnote w:type="continuationSeparator" w:id="0">
    <w:p w:rsidR="00D12944" w:rsidRDefault="00D12944" w:rsidP="00D1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44" w:rsidRDefault="00D12944" w:rsidP="00D12944">
      <w:pPr>
        <w:spacing w:after="0" w:line="240" w:lineRule="auto"/>
      </w:pPr>
      <w:r>
        <w:separator/>
      </w:r>
    </w:p>
  </w:footnote>
  <w:footnote w:type="continuationSeparator" w:id="0">
    <w:p w:rsidR="00D12944" w:rsidRDefault="00D12944" w:rsidP="00D1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44" w:rsidRDefault="00D12944">
    <w:pPr>
      <w:pStyle w:val="Koptekst"/>
    </w:pPr>
    <w:r>
      <w:tab/>
    </w:r>
    <w:r>
      <w:tab/>
      <w:t>EUN/2014/DOC/006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3B1"/>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4C4D19"/>
    <w:multiLevelType w:val="hybridMultilevel"/>
    <w:tmpl w:val="F13077F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1703CB"/>
    <w:multiLevelType w:val="hybridMultilevel"/>
    <w:tmpl w:val="66B6C23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5"/>
    <w:rsid w:val="0000750F"/>
    <w:rsid w:val="00016826"/>
    <w:rsid w:val="0002567D"/>
    <w:rsid w:val="0002741D"/>
    <w:rsid w:val="00051546"/>
    <w:rsid w:val="000556F7"/>
    <w:rsid w:val="00056D64"/>
    <w:rsid w:val="0007249C"/>
    <w:rsid w:val="000A3C82"/>
    <w:rsid w:val="000D0CFF"/>
    <w:rsid w:val="000F7FFC"/>
    <w:rsid w:val="00110DB9"/>
    <w:rsid w:val="00131B19"/>
    <w:rsid w:val="001616E9"/>
    <w:rsid w:val="001619C9"/>
    <w:rsid w:val="00167A07"/>
    <w:rsid w:val="00171871"/>
    <w:rsid w:val="00174E94"/>
    <w:rsid w:val="001A0FC7"/>
    <w:rsid w:val="001A2E00"/>
    <w:rsid w:val="001B1E74"/>
    <w:rsid w:val="001D77CC"/>
    <w:rsid w:val="001E261D"/>
    <w:rsid w:val="001E3DB5"/>
    <w:rsid w:val="001E5977"/>
    <w:rsid w:val="001F4517"/>
    <w:rsid w:val="002036AF"/>
    <w:rsid w:val="002316C1"/>
    <w:rsid w:val="00241209"/>
    <w:rsid w:val="002423E9"/>
    <w:rsid w:val="00262D54"/>
    <w:rsid w:val="002651A7"/>
    <w:rsid w:val="0027564B"/>
    <w:rsid w:val="00286CB4"/>
    <w:rsid w:val="002A618F"/>
    <w:rsid w:val="002B0794"/>
    <w:rsid w:val="002C2286"/>
    <w:rsid w:val="002E20BF"/>
    <w:rsid w:val="002F1F2D"/>
    <w:rsid w:val="003042D2"/>
    <w:rsid w:val="00307111"/>
    <w:rsid w:val="00307C47"/>
    <w:rsid w:val="00312FFB"/>
    <w:rsid w:val="00315C27"/>
    <w:rsid w:val="003477D9"/>
    <w:rsid w:val="00347C5F"/>
    <w:rsid w:val="00355A9C"/>
    <w:rsid w:val="00357FBE"/>
    <w:rsid w:val="0036497B"/>
    <w:rsid w:val="003649AB"/>
    <w:rsid w:val="00385FD4"/>
    <w:rsid w:val="00397AA6"/>
    <w:rsid w:val="003C5D1D"/>
    <w:rsid w:val="003E0DDF"/>
    <w:rsid w:val="003E19A1"/>
    <w:rsid w:val="003F42D4"/>
    <w:rsid w:val="004103C2"/>
    <w:rsid w:val="00423ACC"/>
    <w:rsid w:val="00444402"/>
    <w:rsid w:val="004512D4"/>
    <w:rsid w:val="00486D44"/>
    <w:rsid w:val="00490A22"/>
    <w:rsid w:val="004912B1"/>
    <w:rsid w:val="004D6366"/>
    <w:rsid w:val="004E3959"/>
    <w:rsid w:val="004F0385"/>
    <w:rsid w:val="004F11DC"/>
    <w:rsid w:val="004F5D1B"/>
    <w:rsid w:val="0050410B"/>
    <w:rsid w:val="00506A66"/>
    <w:rsid w:val="00521002"/>
    <w:rsid w:val="00521209"/>
    <w:rsid w:val="00524EAD"/>
    <w:rsid w:val="00531801"/>
    <w:rsid w:val="00534331"/>
    <w:rsid w:val="00540E64"/>
    <w:rsid w:val="005438CE"/>
    <w:rsid w:val="005964EE"/>
    <w:rsid w:val="005A5C4F"/>
    <w:rsid w:val="005E1769"/>
    <w:rsid w:val="00627677"/>
    <w:rsid w:val="00636586"/>
    <w:rsid w:val="006402C3"/>
    <w:rsid w:val="006731BF"/>
    <w:rsid w:val="006737DB"/>
    <w:rsid w:val="006830B1"/>
    <w:rsid w:val="00694F81"/>
    <w:rsid w:val="00695063"/>
    <w:rsid w:val="006B0C8A"/>
    <w:rsid w:val="006B440E"/>
    <w:rsid w:val="006B4F2C"/>
    <w:rsid w:val="00703595"/>
    <w:rsid w:val="00715DC6"/>
    <w:rsid w:val="00737834"/>
    <w:rsid w:val="007620BF"/>
    <w:rsid w:val="007975A0"/>
    <w:rsid w:val="007B316A"/>
    <w:rsid w:val="007B3B0E"/>
    <w:rsid w:val="007B4E98"/>
    <w:rsid w:val="007E4E8A"/>
    <w:rsid w:val="007F716F"/>
    <w:rsid w:val="008046FE"/>
    <w:rsid w:val="00805AB3"/>
    <w:rsid w:val="00815A66"/>
    <w:rsid w:val="00856A23"/>
    <w:rsid w:val="00862889"/>
    <w:rsid w:val="00870DB7"/>
    <w:rsid w:val="00893999"/>
    <w:rsid w:val="008B76F8"/>
    <w:rsid w:val="008C0AFA"/>
    <w:rsid w:val="008E06BD"/>
    <w:rsid w:val="008F073C"/>
    <w:rsid w:val="008F5222"/>
    <w:rsid w:val="009016EC"/>
    <w:rsid w:val="009060E3"/>
    <w:rsid w:val="009162BF"/>
    <w:rsid w:val="00921F96"/>
    <w:rsid w:val="00925685"/>
    <w:rsid w:val="00957359"/>
    <w:rsid w:val="009829F7"/>
    <w:rsid w:val="009867DF"/>
    <w:rsid w:val="009B046C"/>
    <w:rsid w:val="009B3461"/>
    <w:rsid w:val="009D1B2B"/>
    <w:rsid w:val="009E2274"/>
    <w:rsid w:val="009E4E76"/>
    <w:rsid w:val="00A2426A"/>
    <w:rsid w:val="00A4730A"/>
    <w:rsid w:val="00A51132"/>
    <w:rsid w:val="00A612D6"/>
    <w:rsid w:val="00A63D3C"/>
    <w:rsid w:val="00A74634"/>
    <w:rsid w:val="00A961E4"/>
    <w:rsid w:val="00AD0DB3"/>
    <w:rsid w:val="00B00CA6"/>
    <w:rsid w:val="00B16B2D"/>
    <w:rsid w:val="00B656CF"/>
    <w:rsid w:val="00B73DC7"/>
    <w:rsid w:val="00BB7F4C"/>
    <w:rsid w:val="00BC53B0"/>
    <w:rsid w:val="00BF102D"/>
    <w:rsid w:val="00BF2B5C"/>
    <w:rsid w:val="00BF77F0"/>
    <w:rsid w:val="00C13457"/>
    <w:rsid w:val="00C16CC4"/>
    <w:rsid w:val="00C3150E"/>
    <w:rsid w:val="00C37FD2"/>
    <w:rsid w:val="00C44A32"/>
    <w:rsid w:val="00C62759"/>
    <w:rsid w:val="00C67942"/>
    <w:rsid w:val="00C91C14"/>
    <w:rsid w:val="00CA353A"/>
    <w:rsid w:val="00CA67BB"/>
    <w:rsid w:val="00CB6E4E"/>
    <w:rsid w:val="00CC17CD"/>
    <w:rsid w:val="00CD23BF"/>
    <w:rsid w:val="00CD35C1"/>
    <w:rsid w:val="00CF12DE"/>
    <w:rsid w:val="00CF41FF"/>
    <w:rsid w:val="00D12944"/>
    <w:rsid w:val="00D36D7A"/>
    <w:rsid w:val="00D440DB"/>
    <w:rsid w:val="00D539A3"/>
    <w:rsid w:val="00D54AF5"/>
    <w:rsid w:val="00D60009"/>
    <w:rsid w:val="00D670B5"/>
    <w:rsid w:val="00D71E53"/>
    <w:rsid w:val="00D9546E"/>
    <w:rsid w:val="00DB59FC"/>
    <w:rsid w:val="00DD074F"/>
    <w:rsid w:val="00DD38F3"/>
    <w:rsid w:val="00DD4EBC"/>
    <w:rsid w:val="00DE3D99"/>
    <w:rsid w:val="00DE5D77"/>
    <w:rsid w:val="00E02B76"/>
    <w:rsid w:val="00E042AF"/>
    <w:rsid w:val="00E112CA"/>
    <w:rsid w:val="00E21A07"/>
    <w:rsid w:val="00E40107"/>
    <w:rsid w:val="00E4752C"/>
    <w:rsid w:val="00E5047B"/>
    <w:rsid w:val="00E54671"/>
    <w:rsid w:val="00E6709D"/>
    <w:rsid w:val="00E729D6"/>
    <w:rsid w:val="00E92B2E"/>
    <w:rsid w:val="00EA02C7"/>
    <w:rsid w:val="00EA27A3"/>
    <w:rsid w:val="00EA2931"/>
    <w:rsid w:val="00EC7808"/>
    <w:rsid w:val="00EF2ACC"/>
    <w:rsid w:val="00EF3A3C"/>
    <w:rsid w:val="00F0780A"/>
    <w:rsid w:val="00F331EA"/>
    <w:rsid w:val="00F42455"/>
    <w:rsid w:val="00F43907"/>
    <w:rsid w:val="00F46EBB"/>
    <w:rsid w:val="00F50951"/>
    <w:rsid w:val="00F530DF"/>
    <w:rsid w:val="00F740D5"/>
    <w:rsid w:val="00F75876"/>
    <w:rsid w:val="00F86E31"/>
    <w:rsid w:val="00F91B5F"/>
    <w:rsid w:val="00F92606"/>
    <w:rsid w:val="00F960FA"/>
    <w:rsid w:val="00FE1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paragraph" w:styleId="Geenafstand">
    <w:name w:val="No Spacing"/>
    <w:uiPriority w:val="1"/>
    <w:qFormat/>
    <w:rsid w:val="00627677"/>
    <w:pPr>
      <w:spacing w:after="0" w:line="240" w:lineRule="auto"/>
    </w:pPr>
    <w:rPr>
      <w:rFonts w:eastAsiaTheme="minorHAnsi"/>
      <w:lang w:eastAsia="en-US"/>
    </w:rPr>
  </w:style>
  <w:style w:type="paragraph" w:customStyle="1" w:styleId="Default">
    <w:name w:val="Default"/>
    <w:rsid w:val="003649AB"/>
    <w:pPr>
      <w:autoSpaceDE w:val="0"/>
      <w:autoSpaceDN w:val="0"/>
      <w:adjustRightInd w:val="0"/>
      <w:spacing w:after="0" w:line="240" w:lineRule="auto"/>
    </w:pPr>
    <w:rPr>
      <w:rFonts w:ascii="Calibri" w:hAnsi="Calibri" w:cs="Calibri"/>
      <w:color w:val="000000"/>
      <w:sz w:val="24"/>
      <w:szCs w:val="24"/>
      <w:lang w:val="en-GB"/>
    </w:rPr>
  </w:style>
  <w:style w:type="paragraph" w:styleId="Koptekst">
    <w:name w:val="header"/>
    <w:basedOn w:val="Standaard"/>
    <w:link w:val="KoptekstChar"/>
    <w:uiPriority w:val="99"/>
    <w:unhideWhenUsed/>
    <w:rsid w:val="00D129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2944"/>
  </w:style>
  <w:style w:type="paragraph" w:styleId="Voettekst">
    <w:name w:val="footer"/>
    <w:basedOn w:val="Standaard"/>
    <w:link w:val="VoettekstChar"/>
    <w:uiPriority w:val="99"/>
    <w:unhideWhenUsed/>
    <w:rsid w:val="00D129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2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paragraph" w:styleId="Geenafstand">
    <w:name w:val="No Spacing"/>
    <w:uiPriority w:val="1"/>
    <w:qFormat/>
    <w:rsid w:val="00627677"/>
    <w:pPr>
      <w:spacing w:after="0" w:line="240" w:lineRule="auto"/>
    </w:pPr>
    <w:rPr>
      <w:rFonts w:eastAsiaTheme="minorHAnsi"/>
      <w:lang w:eastAsia="en-US"/>
    </w:rPr>
  </w:style>
  <w:style w:type="paragraph" w:customStyle="1" w:styleId="Default">
    <w:name w:val="Default"/>
    <w:rsid w:val="003649AB"/>
    <w:pPr>
      <w:autoSpaceDE w:val="0"/>
      <w:autoSpaceDN w:val="0"/>
      <w:adjustRightInd w:val="0"/>
      <w:spacing w:after="0" w:line="240" w:lineRule="auto"/>
    </w:pPr>
    <w:rPr>
      <w:rFonts w:ascii="Calibri" w:hAnsi="Calibri" w:cs="Calibri"/>
      <w:color w:val="000000"/>
      <w:sz w:val="24"/>
      <w:szCs w:val="24"/>
      <w:lang w:val="en-GB"/>
    </w:rPr>
  </w:style>
  <w:style w:type="paragraph" w:styleId="Koptekst">
    <w:name w:val="header"/>
    <w:basedOn w:val="Standaard"/>
    <w:link w:val="KoptekstChar"/>
    <w:uiPriority w:val="99"/>
    <w:unhideWhenUsed/>
    <w:rsid w:val="00D129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2944"/>
  </w:style>
  <w:style w:type="paragraph" w:styleId="Voettekst">
    <w:name w:val="footer"/>
    <w:basedOn w:val="Standaard"/>
    <w:link w:val="VoettekstChar"/>
    <w:uiPriority w:val="99"/>
    <w:unhideWhenUsed/>
    <w:rsid w:val="00D129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392">
      <w:bodyDiv w:val="1"/>
      <w:marLeft w:val="0"/>
      <w:marRight w:val="0"/>
      <w:marTop w:val="0"/>
      <w:marBottom w:val="0"/>
      <w:divBdr>
        <w:top w:val="none" w:sz="0" w:space="0" w:color="auto"/>
        <w:left w:val="none" w:sz="0" w:space="0" w:color="auto"/>
        <w:bottom w:val="none" w:sz="0" w:space="0" w:color="auto"/>
        <w:right w:val="none" w:sz="0" w:space="0" w:color="auto"/>
      </w:divBdr>
    </w:div>
    <w:div w:id="117727721">
      <w:bodyDiv w:val="1"/>
      <w:marLeft w:val="0"/>
      <w:marRight w:val="0"/>
      <w:marTop w:val="0"/>
      <w:marBottom w:val="0"/>
      <w:divBdr>
        <w:top w:val="none" w:sz="0" w:space="0" w:color="auto"/>
        <w:left w:val="none" w:sz="0" w:space="0" w:color="auto"/>
        <w:bottom w:val="none" w:sz="0" w:space="0" w:color="auto"/>
        <w:right w:val="none" w:sz="0" w:space="0" w:color="auto"/>
      </w:divBdr>
    </w:div>
    <w:div w:id="268851972">
      <w:bodyDiv w:val="1"/>
      <w:marLeft w:val="0"/>
      <w:marRight w:val="0"/>
      <w:marTop w:val="0"/>
      <w:marBottom w:val="0"/>
      <w:divBdr>
        <w:top w:val="none" w:sz="0" w:space="0" w:color="auto"/>
        <w:left w:val="none" w:sz="0" w:space="0" w:color="auto"/>
        <w:bottom w:val="none" w:sz="0" w:space="0" w:color="auto"/>
        <w:right w:val="none" w:sz="0" w:space="0" w:color="auto"/>
      </w:divBdr>
    </w:div>
    <w:div w:id="329022099">
      <w:bodyDiv w:val="1"/>
      <w:marLeft w:val="0"/>
      <w:marRight w:val="0"/>
      <w:marTop w:val="0"/>
      <w:marBottom w:val="0"/>
      <w:divBdr>
        <w:top w:val="none" w:sz="0" w:space="0" w:color="auto"/>
        <w:left w:val="none" w:sz="0" w:space="0" w:color="auto"/>
        <w:bottom w:val="none" w:sz="0" w:space="0" w:color="auto"/>
        <w:right w:val="none" w:sz="0" w:space="0" w:color="auto"/>
      </w:divBdr>
    </w:div>
    <w:div w:id="350228973">
      <w:bodyDiv w:val="1"/>
      <w:marLeft w:val="0"/>
      <w:marRight w:val="0"/>
      <w:marTop w:val="0"/>
      <w:marBottom w:val="0"/>
      <w:divBdr>
        <w:top w:val="none" w:sz="0" w:space="0" w:color="auto"/>
        <w:left w:val="none" w:sz="0" w:space="0" w:color="auto"/>
        <w:bottom w:val="none" w:sz="0" w:space="0" w:color="auto"/>
        <w:right w:val="none" w:sz="0" w:space="0" w:color="auto"/>
      </w:divBdr>
      <w:divsChild>
        <w:div w:id="1529903266">
          <w:marLeft w:val="0"/>
          <w:marRight w:val="0"/>
          <w:marTop w:val="0"/>
          <w:marBottom w:val="0"/>
          <w:divBdr>
            <w:top w:val="none" w:sz="0" w:space="0" w:color="auto"/>
            <w:left w:val="none" w:sz="0" w:space="0" w:color="auto"/>
            <w:bottom w:val="none" w:sz="0" w:space="0" w:color="auto"/>
            <w:right w:val="none" w:sz="0" w:space="0" w:color="auto"/>
          </w:divBdr>
          <w:divsChild>
            <w:div w:id="1247687739">
              <w:marLeft w:val="0"/>
              <w:marRight w:val="0"/>
              <w:marTop w:val="0"/>
              <w:marBottom w:val="0"/>
              <w:divBdr>
                <w:top w:val="none" w:sz="0" w:space="0" w:color="auto"/>
                <w:left w:val="none" w:sz="0" w:space="0" w:color="auto"/>
                <w:bottom w:val="none" w:sz="0" w:space="0" w:color="auto"/>
                <w:right w:val="none" w:sz="0" w:space="0" w:color="auto"/>
              </w:divBdr>
              <w:divsChild>
                <w:div w:id="1805467160">
                  <w:marLeft w:val="0"/>
                  <w:marRight w:val="0"/>
                  <w:marTop w:val="0"/>
                  <w:marBottom w:val="0"/>
                  <w:divBdr>
                    <w:top w:val="none" w:sz="0" w:space="0" w:color="auto"/>
                    <w:left w:val="none" w:sz="0" w:space="0" w:color="auto"/>
                    <w:bottom w:val="none" w:sz="0" w:space="0" w:color="auto"/>
                    <w:right w:val="none" w:sz="0" w:space="0" w:color="auto"/>
                  </w:divBdr>
                  <w:divsChild>
                    <w:div w:id="315571769">
                      <w:marLeft w:val="0"/>
                      <w:marRight w:val="0"/>
                      <w:marTop w:val="0"/>
                      <w:marBottom w:val="0"/>
                      <w:divBdr>
                        <w:top w:val="none" w:sz="0" w:space="0" w:color="auto"/>
                        <w:left w:val="none" w:sz="0" w:space="0" w:color="auto"/>
                        <w:bottom w:val="none" w:sz="0" w:space="0" w:color="auto"/>
                        <w:right w:val="none" w:sz="0" w:space="0" w:color="auto"/>
                      </w:divBdr>
                      <w:divsChild>
                        <w:div w:id="1226989515">
                          <w:marLeft w:val="0"/>
                          <w:marRight w:val="0"/>
                          <w:marTop w:val="0"/>
                          <w:marBottom w:val="0"/>
                          <w:divBdr>
                            <w:top w:val="none" w:sz="0" w:space="0" w:color="auto"/>
                            <w:left w:val="none" w:sz="0" w:space="0" w:color="auto"/>
                            <w:bottom w:val="none" w:sz="0" w:space="0" w:color="auto"/>
                            <w:right w:val="none" w:sz="0" w:space="0" w:color="auto"/>
                          </w:divBdr>
                          <w:divsChild>
                            <w:div w:id="769204068">
                              <w:marLeft w:val="0"/>
                              <w:marRight w:val="0"/>
                              <w:marTop w:val="0"/>
                              <w:marBottom w:val="225"/>
                              <w:divBdr>
                                <w:top w:val="single" w:sz="12" w:space="0" w:color="DEDEDE"/>
                                <w:left w:val="single" w:sz="12" w:space="0" w:color="DEDEDE"/>
                                <w:bottom w:val="single" w:sz="12" w:space="0" w:color="DEDEDE"/>
                                <w:right w:val="single" w:sz="12" w:space="0" w:color="DEDEDE"/>
                              </w:divBdr>
                              <w:divsChild>
                                <w:div w:id="247924944">
                                  <w:marLeft w:val="0"/>
                                  <w:marRight w:val="0"/>
                                  <w:marTop w:val="0"/>
                                  <w:marBottom w:val="0"/>
                                  <w:divBdr>
                                    <w:top w:val="none" w:sz="0" w:space="0" w:color="auto"/>
                                    <w:left w:val="none" w:sz="0" w:space="0" w:color="auto"/>
                                    <w:bottom w:val="none" w:sz="0" w:space="0" w:color="auto"/>
                                    <w:right w:val="none" w:sz="0" w:space="0" w:color="auto"/>
                                  </w:divBdr>
                                  <w:divsChild>
                                    <w:div w:id="461845264">
                                      <w:marLeft w:val="0"/>
                                      <w:marRight w:val="0"/>
                                      <w:marTop w:val="0"/>
                                      <w:marBottom w:val="0"/>
                                      <w:divBdr>
                                        <w:top w:val="none" w:sz="0" w:space="0" w:color="auto"/>
                                        <w:left w:val="none" w:sz="0" w:space="0" w:color="auto"/>
                                        <w:bottom w:val="none" w:sz="0" w:space="0" w:color="auto"/>
                                        <w:right w:val="none" w:sz="0" w:space="0" w:color="auto"/>
                                      </w:divBdr>
                                      <w:divsChild>
                                        <w:div w:id="688065017">
                                          <w:marLeft w:val="0"/>
                                          <w:marRight w:val="0"/>
                                          <w:marTop w:val="0"/>
                                          <w:marBottom w:val="0"/>
                                          <w:divBdr>
                                            <w:top w:val="none" w:sz="0" w:space="0" w:color="auto"/>
                                            <w:left w:val="none" w:sz="0" w:space="0" w:color="auto"/>
                                            <w:bottom w:val="none" w:sz="0" w:space="0" w:color="auto"/>
                                            <w:right w:val="none" w:sz="0" w:space="0" w:color="auto"/>
                                          </w:divBdr>
                                          <w:divsChild>
                                            <w:div w:id="577666928">
                                              <w:marLeft w:val="0"/>
                                              <w:marRight w:val="0"/>
                                              <w:marTop w:val="0"/>
                                              <w:marBottom w:val="0"/>
                                              <w:divBdr>
                                                <w:top w:val="none" w:sz="0" w:space="0" w:color="auto"/>
                                                <w:left w:val="none" w:sz="0" w:space="0" w:color="auto"/>
                                                <w:bottom w:val="none" w:sz="0" w:space="0" w:color="auto"/>
                                                <w:right w:val="none" w:sz="0" w:space="0" w:color="auto"/>
                                              </w:divBdr>
                                              <w:divsChild>
                                                <w:div w:id="899559685">
                                                  <w:marLeft w:val="0"/>
                                                  <w:marRight w:val="0"/>
                                                  <w:marTop w:val="0"/>
                                                  <w:marBottom w:val="0"/>
                                                  <w:divBdr>
                                                    <w:top w:val="none" w:sz="0" w:space="0" w:color="auto"/>
                                                    <w:left w:val="none" w:sz="0" w:space="0" w:color="auto"/>
                                                    <w:bottom w:val="none" w:sz="0" w:space="0" w:color="auto"/>
                                                    <w:right w:val="none" w:sz="0" w:space="0" w:color="auto"/>
                                                  </w:divBdr>
                                                </w:div>
                                                <w:div w:id="449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425688">
      <w:bodyDiv w:val="1"/>
      <w:marLeft w:val="0"/>
      <w:marRight w:val="0"/>
      <w:marTop w:val="0"/>
      <w:marBottom w:val="0"/>
      <w:divBdr>
        <w:top w:val="none" w:sz="0" w:space="0" w:color="auto"/>
        <w:left w:val="none" w:sz="0" w:space="0" w:color="auto"/>
        <w:bottom w:val="none" w:sz="0" w:space="0" w:color="auto"/>
        <w:right w:val="none" w:sz="0" w:space="0" w:color="auto"/>
      </w:divBdr>
      <w:divsChild>
        <w:div w:id="139083438">
          <w:marLeft w:val="0"/>
          <w:marRight w:val="0"/>
          <w:marTop w:val="0"/>
          <w:marBottom w:val="0"/>
          <w:divBdr>
            <w:top w:val="none" w:sz="0" w:space="0" w:color="auto"/>
            <w:left w:val="none" w:sz="0" w:space="0" w:color="auto"/>
            <w:bottom w:val="none" w:sz="0" w:space="0" w:color="auto"/>
            <w:right w:val="none" w:sz="0" w:space="0" w:color="auto"/>
          </w:divBdr>
          <w:divsChild>
            <w:div w:id="1776636660">
              <w:marLeft w:val="0"/>
              <w:marRight w:val="0"/>
              <w:marTop w:val="0"/>
              <w:marBottom w:val="0"/>
              <w:divBdr>
                <w:top w:val="none" w:sz="0" w:space="0" w:color="auto"/>
                <w:left w:val="none" w:sz="0" w:space="0" w:color="auto"/>
                <w:bottom w:val="none" w:sz="0" w:space="0" w:color="auto"/>
                <w:right w:val="none" w:sz="0" w:space="0" w:color="auto"/>
              </w:divBdr>
              <w:divsChild>
                <w:div w:id="784270586">
                  <w:marLeft w:val="0"/>
                  <w:marRight w:val="0"/>
                  <w:marTop w:val="0"/>
                  <w:marBottom w:val="0"/>
                  <w:divBdr>
                    <w:top w:val="single" w:sz="48" w:space="0" w:color="FC6621"/>
                    <w:left w:val="none" w:sz="0" w:space="0" w:color="auto"/>
                    <w:bottom w:val="none" w:sz="0" w:space="0" w:color="auto"/>
                    <w:right w:val="none" w:sz="0" w:space="0" w:color="auto"/>
                  </w:divBdr>
                  <w:divsChild>
                    <w:div w:id="2092655350">
                      <w:marLeft w:val="0"/>
                      <w:marRight w:val="0"/>
                      <w:marTop w:val="0"/>
                      <w:marBottom w:val="0"/>
                      <w:divBdr>
                        <w:top w:val="none" w:sz="0" w:space="0" w:color="auto"/>
                        <w:left w:val="none" w:sz="0" w:space="0" w:color="auto"/>
                        <w:bottom w:val="none" w:sz="0" w:space="0" w:color="auto"/>
                        <w:right w:val="none" w:sz="0" w:space="0" w:color="auto"/>
                      </w:divBdr>
                      <w:divsChild>
                        <w:div w:id="427166243">
                          <w:marLeft w:val="0"/>
                          <w:marRight w:val="0"/>
                          <w:marTop w:val="0"/>
                          <w:marBottom w:val="0"/>
                          <w:divBdr>
                            <w:top w:val="none" w:sz="0" w:space="0" w:color="auto"/>
                            <w:left w:val="none" w:sz="0" w:space="0" w:color="auto"/>
                            <w:bottom w:val="none" w:sz="0" w:space="0" w:color="auto"/>
                            <w:right w:val="none" w:sz="0" w:space="0" w:color="auto"/>
                          </w:divBdr>
                          <w:divsChild>
                            <w:div w:id="813529584">
                              <w:marLeft w:val="0"/>
                              <w:marRight w:val="0"/>
                              <w:marTop w:val="0"/>
                              <w:marBottom w:val="0"/>
                              <w:divBdr>
                                <w:top w:val="none" w:sz="0" w:space="0" w:color="auto"/>
                                <w:left w:val="none" w:sz="0" w:space="0" w:color="auto"/>
                                <w:bottom w:val="none" w:sz="0" w:space="0" w:color="auto"/>
                                <w:right w:val="none" w:sz="0" w:space="0" w:color="auto"/>
                              </w:divBdr>
                              <w:divsChild>
                                <w:div w:id="297995533">
                                  <w:marLeft w:val="0"/>
                                  <w:marRight w:val="0"/>
                                  <w:marTop w:val="0"/>
                                  <w:marBottom w:val="0"/>
                                  <w:divBdr>
                                    <w:top w:val="none" w:sz="0" w:space="0" w:color="auto"/>
                                    <w:left w:val="none" w:sz="0" w:space="0" w:color="auto"/>
                                    <w:bottom w:val="none" w:sz="0" w:space="0" w:color="auto"/>
                                    <w:right w:val="none" w:sz="0" w:space="0" w:color="auto"/>
                                  </w:divBdr>
                                  <w:divsChild>
                                    <w:div w:id="1623262445">
                                      <w:marLeft w:val="0"/>
                                      <w:marRight w:val="0"/>
                                      <w:marTop w:val="0"/>
                                      <w:marBottom w:val="0"/>
                                      <w:divBdr>
                                        <w:top w:val="none" w:sz="0" w:space="0" w:color="auto"/>
                                        <w:left w:val="none" w:sz="0" w:space="0" w:color="auto"/>
                                        <w:bottom w:val="none" w:sz="0" w:space="0" w:color="auto"/>
                                        <w:right w:val="none" w:sz="0" w:space="0" w:color="auto"/>
                                      </w:divBdr>
                                      <w:divsChild>
                                        <w:div w:id="1265848304">
                                          <w:marLeft w:val="0"/>
                                          <w:marRight w:val="0"/>
                                          <w:marTop w:val="0"/>
                                          <w:marBottom w:val="0"/>
                                          <w:divBdr>
                                            <w:top w:val="none" w:sz="0" w:space="0" w:color="auto"/>
                                            <w:left w:val="none" w:sz="0" w:space="0" w:color="auto"/>
                                            <w:bottom w:val="none" w:sz="0" w:space="0" w:color="auto"/>
                                            <w:right w:val="none" w:sz="0" w:space="0" w:color="auto"/>
                                          </w:divBdr>
                                          <w:divsChild>
                                            <w:div w:id="2112359714">
                                              <w:marLeft w:val="0"/>
                                              <w:marRight w:val="0"/>
                                              <w:marTop w:val="0"/>
                                              <w:marBottom w:val="0"/>
                                              <w:divBdr>
                                                <w:top w:val="none" w:sz="0" w:space="0" w:color="auto"/>
                                                <w:left w:val="none" w:sz="0" w:space="0" w:color="auto"/>
                                                <w:bottom w:val="none" w:sz="0" w:space="0" w:color="auto"/>
                                                <w:right w:val="none" w:sz="0" w:space="0" w:color="auto"/>
                                              </w:divBdr>
                                              <w:divsChild>
                                                <w:div w:id="19559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813">
                                          <w:marLeft w:val="0"/>
                                          <w:marRight w:val="0"/>
                                          <w:marTop w:val="0"/>
                                          <w:marBottom w:val="0"/>
                                          <w:divBdr>
                                            <w:top w:val="none" w:sz="0" w:space="0" w:color="auto"/>
                                            <w:left w:val="none" w:sz="0" w:space="0" w:color="auto"/>
                                            <w:bottom w:val="none" w:sz="0" w:space="0" w:color="auto"/>
                                            <w:right w:val="none" w:sz="0" w:space="0" w:color="auto"/>
                                          </w:divBdr>
                                          <w:divsChild>
                                            <w:div w:id="1143738398">
                                              <w:marLeft w:val="0"/>
                                              <w:marRight w:val="0"/>
                                              <w:marTop w:val="0"/>
                                              <w:marBottom w:val="0"/>
                                              <w:divBdr>
                                                <w:top w:val="none" w:sz="0" w:space="0" w:color="auto"/>
                                                <w:left w:val="none" w:sz="0" w:space="0" w:color="auto"/>
                                                <w:bottom w:val="none" w:sz="0" w:space="0" w:color="auto"/>
                                                <w:right w:val="none" w:sz="0" w:space="0" w:color="auto"/>
                                              </w:divBdr>
                                              <w:divsChild>
                                                <w:div w:id="11583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3805">
      <w:bodyDiv w:val="1"/>
      <w:marLeft w:val="0"/>
      <w:marRight w:val="0"/>
      <w:marTop w:val="0"/>
      <w:marBottom w:val="0"/>
      <w:divBdr>
        <w:top w:val="none" w:sz="0" w:space="0" w:color="auto"/>
        <w:left w:val="none" w:sz="0" w:space="0" w:color="auto"/>
        <w:bottom w:val="none" w:sz="0" w:space="0" w:color="auto"/>
        <w:right w:val="none" w:sz="0" w:space="0" w:color="auto"/>
      </w:divBdr>
    </w:div>
    <w:div w:id="633146323">
      <w:bodyDiv w:val="1"/>
      <w:marLeft w:val="0"/>
      <w:marRight w:val="0"/>
      <w:marTop w:val="0"/>
      <w:marBottom w:val="0"/>
      <w:divBdr>
        <w:top w:val="none" w:sz="0" w:space="0" w:color="auto"/>
        <w:left w:val="none" w:sz="0" w:space="0" w:color="auto"/>
        <w:bottom w:val="none" w:sz="0" w:space="0" w:color="auto"/>
        <w:right w:val="none" w:sz="0" w:space="0" w:color="auto"/>
      </w:divBdr>
    </w:div>
    <w:div w:id="641353142">
      <w:bodyDiv w:val="1"/>
      <w:marLeft w:val="0"/>
      <w:marRight w:val="0"/>
      <w:marTop w:val="0"/>
      <w:marBottom w:val="0"/>
      <w:divBdr>
        <w:top w:val="none" w:sz="0" w:space="0" w:color="auto"/>
        <w:left w:val="none" w:sz="0" w:space="0" w:color="auto"/>
        <w:bottom w:val="none" w:sz="0" w:space="0" w:color="auto"/>
        <w:right w:val="none" w:sz="0" w:space="0" w:color="auto"/>
      </w:divBdr>
    </w:div>
    <w:div w:id="668365295">
      <w:bodyDiv w:val="1"/>
      <w:marLeft w:val="0"/>
      <w:marRight w:val="0"/>
      <w:marTop w:val="0"/>
      <w:marBottom w:val="0"/>
      <w:divBdr>
        <w:top w:val="none" w:sz="0" w:space="0" w:color="auto"/>
        <w:left w:val="none" w:sz="0" w:space="0" w:color="auto"/>
        <w:bottom w:val="none" w:sz="0" w:space="0" w:color="auto"/>
        <w:right w:val="none" w:sz="0" w:space="0" w:color="auto"/>
      </w:divBdr>
    </w:div>
    <w:div w:id="812983880">
      <w:bodyDiv w:val="1"/>
      <w:marLeft w:val="0"/>
      <w:marRight w:val="0"/>
      <w:marTop w:val="0"/>
      <w:marBottom w:val="0"/>
      <w:divBdr>
        <w:top w:val="none" w:sz="0" w:space="0" w:color="auto"/>
        <w:left w:val="none" w:sz="0" w:space="0" w:color="auto"/>
        <w:bottom w:val="none" w:sz="0" w:space="0" w:color="auto"/>
        <w:right w:val="none" w:sz="0" w:space="0" w:color="auto"/>
      </w:divBdr>
    </w:div>
    <w:div w:id="914781008">
      <w:bodyDiv w:val="1"/>
      <w:marLeft w:val="0"/>
      <w:marRight w:val="0"/>
      <w:marTop w:val="0"/>
      <w:marBottom w:val="0"/>
      <w:divBdr>
        <w:top w:val="none" w:sz="0" w:space="0" w:color="auto"/>
        <w:left w:val="none" w:sz="0" w:space="0" w:color="auto"/>
        <w:bottom w:val="none" w:sz="0" w:space="0" w:color="auto"/>
        <w:right w:val="none" w:sz="0" w:space="0" w:color="auto"/>
      </w:divBdr>
      <w:divsChild>
        <w:div w:id="1096099971">
          <w:marLeft w:val="0"/>
          <w:marRight w:val="0"/>
          <w:marTop w:val="0"/>
          <w:marBottom w:val="0"/>
          <w:divBdr>
            <w:top w:val="none" w:sz="0" w:space="0" w:color="auto"/>
            <w:left w:val="none" w:sz="0" w:space="0" w:color="auto"/>
            <w:bottom w:val="none" w:sz="0" w:space="0" w:color="auto"/>
            <w:right w:val="none" w:sz="0" w:space="0" w:color="auto"/>
          </w:divBdr>
          <w:divsChild>
            <w:div w:id="279411198">
              <w:marLeft w:val="300"/>
              <w:marRight w:val="300"/>
              <w:marTop w:val="75"/>
              <w:marBottom w:val="30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329991255">
                      <w:marLeft w:val="0"/>
                      <w:marRight w:val="150"/>
                      <w:marTop w:val="150"/>
                      <w:marBottom w:val="300"/>
                      <w:divBdr>
                        <w:top w:val="none" w:sz="0" w:space="0" w:color="auto"/>
                        <w:left w:val="none" w:sz="0" w:space="0" w:color="auto"/>
                        <w:bottom w:val="none" w:sz="0" w:space="0" w:color="auto"/>
                        <w:right w:val="none" w:sz="0" w:space="0" w:color="auto"/>
                      </w:divBdr>
                      <w:divsChild>
                        <w:div w:id="1891915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5758350">
      <w:bodyDiv w:val="1"/>
      <w:marLeft w:val="0"/>
      <w:marRight w:val="0"/>
      <w:marTop w:val="0"/>
      <w:marBottom w:val="0"/>
      <w:divBdr>
        <w:top w:val="none" w:sz="0" w:space="0" w:color="auto"/>
        <w:left w:val="none" w:sz="0" w:space="0" w:color="auto"/>
        <w:bottom w:val="none" w:sz="0" w:space="0" w:color="auto"/>
        <w:right w:val="none" w:sz="0" w:space="0" w:color="auto"/>
      </w:divBdr>
      <w:divsChild>
        <w:div w:id="1966540208">
          <w:marLeft w:val="0"/>
          <w:marRight w:val="0"/>
          <w:marTop w:val="0"/>
          <w:marBottom w:val="0"/>
          <w:divBdr>
            <w:top w:val="none" w:sz="0" w:space="0" w:color="auto"/>
            <w:left w:val="none" w:sz="0" w:space="0" w:color="auto"/>
            <w:bottom w:val="none" w:sz="0" w:space="0" w:color="auto"/>
            <w:right w:val="none" w:sz="0" w:space="0" w:color="auto"/>
          </w:divBdr>
          <w:divsChild>
            <w:div w:id="1810316055">
              <w:marLeft w:val="0"/>
              <w:marRight w:val="0"/>
              <w:marTop w:val="0"/>
              <w:marBottom w:val="0"/>
              <w:divBdr>
                <w:top w:val="none" w:sz="0" w:space="0" w:color="auto"/>
                <w:left w:val="none" w:sz="0" w:space="0" w:color="auto"/>
                <w:bottom w:val="none" w:sz="0" w:space="0" w:color="auto"/>
                <w:right w:val="none" w:sz="0" w:space="0" w:color="auto"/>
              </w:divBdr>
              <w:divsChild>
                <w:div w:id="1447037495">
                  <w:marLeft w:val="0"/>
                  <w:marRight w:val="0"/>
                  <w:marTop w:val="0"/>
                  <w:marBottom w:val="0"/>
                  <w:divBdr>
                    <w:top w:val="none" w:sz="0" w:space="0" w:color="auto"/>
                    <w:left w:val="none" w:sz="0" w:space="0" w:color="auto"/>
                    <w:bottom w:val="none" w:sz="0" w:space="0" w:color="auto"/>
                    <w:right w:val="none" w:sz="0" w:space="0" w:color="auto"/>
                  </w:divBdr>
                  <w:divsChild>
                    <w:div w:id="1875921040">
                      <w:marLeft w:val="0"/>
                      <w:marRight w:val="0"/>
                      <w:marTop w:val="0"/>
                      <w:marBottom w:val="0"/>
                      <w:divBdr>
                        <w:top w:val="none" w:sz="0" w:space="0" w:color="auto"/>
                        <w:left w:val="none" w:sz="0" w:space="0" w:color="auto"/>
                        <w:bottom w:val="none" w:sz="0" w:space="0" w:color="auto"/>
                        <w:right w:val="none" w:sz="0" w:space="0" w:color="auto"/>
                      </w:divBdr>
                      <w:divsChild>
                        <w:div w:id="1115830135">
                          <w:marLeft w:val="0"/>
                          <w:marRight w:val="0"/>
                          <w:marTop w:val="0"/>
                          <w:marBottom w:val="0"/>
                          <w:divBdr>
                            <w:top w:val="none" w:sz="0" w:space="0" w:color="auto"/>
                            <w:left w:val="none" w:sz="0" w:space="0" w:color="auto"/>
                            <w:bottom w:val="none" w:sz="0" w:space="0" w:color="auto"/>
                            <w:right w:val="none" w:sz="0" w:space="0" w:color="auto"/>
                          </w:divBdr>
                          <w:divsChild>
                            <w:div w:id="1073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67750">
      <w:bodyDiv w:val="1"/>
      <w:marLeft w:val="0"/>
      <w:marRight w:val="0"/>
      <w:marTop w:val="0"/>
      <w:marBottom w:val="0"/>
      <w:divBdr>
        <w:top w:val="none" w:sz="0" w:space="0" w:color="auto"/>
        <w:left w:val="none" w:sz="0" w:space="0" w:color="auto"/>
        <w:bottom w:val="none" w:sz="0" w:space="0" w:color="auto"/>
        <w:right w:val="none" w:sz="0" w:space="0" w:color="auto"/>
      </w:divBdr>
      <w:divsChild>
        <w:div w:id="1191063504">
          <w:marLeft w:val="0"/>
          <w:marRight w:val="0"/>
          <w:marTop w:val="0"/>
          <w:marBottom w:val="0"/>
          <w:divBdr>
            <w:top w:val="none" w:sz="0" w:space="0" w:color="auto"/>
            <w:left w:val="none" w:sz="0" w:space="0" w:color="auto"/>
            <w:bottom w:val="none" w:sz="0" w:space="0" w:color="auto"/>
            <w:right w:val="none" w:sz="0" w:space="0" w:color="auto"/>
          </w:divBdr>
          <w:divsChild>
            <w:div w:id="945113141">
              <w:marLeft w:val="300"/>
              <w:marRight w:val="300"/>
              <w:marTop w:val="75"/>
              <w:marBottom w:val="300"/>
              <w:divBdr>
                <w:top w:val="none" w:sz="0" w:space="0" w:color="auto"/>
                <w:left w:val="none" w:sz="0" w:space="0" w:color="auto"/>
                <w:bottom w:val="none" w:sz="0" w:space="0" w:color="auto"/>
                <w:right w:val="none" w:sz="0" w:space="0" w:color="auto"/>
              </w:divBdr>
              <w:divsChild>
                <w:div w:id="53748296">
                  <w:marLeft w:val="0"/>
                  <w:marRight w:val="0"/>
                  <w:marTop w:val="0"/>
                  <w:marBottom w:val="0"/>
                  <w:divBdr>
                    <w:top w:val="none" w:sz="0" w:space="0" w:color="auto"/>
                    <w:left w:val="none" w:sz="0" w:space="0" w:color="auto"/>
                    <w:bottom w:val="none" w:sz="0" w:space="0" w:color="auto"/>
                    <w:right w:val="none" w:sz="0" w:space="0" w:color="auto"/>
                  </w:divBdr>
                  <w:divsChild>
                    <w:div w:id="1662155211">
                      <w:marLeft w:val="0"/>
                      <w:marRight w:val="150"/>
                      <w:marTop w:val="150"/>
                      <w:marBottom w:val="300"/>
                      <w:divBdr>
                        <w:top w:val="none" w:sz="0" w:space="0" w:color="auto"/>
                        <w:left w:val="none" w:sz="0" w:space="0" w:color="auto"/>
                        <w:bottom w:val="none" w:sz="0" w:space="0" w:color="auto"/>
                        <w:right w:val="none" w:sz="0" w:space="0" w:color="auto"/>
                      </w:divBdr>
                      <w:divsChild>
                        <w:div w:id="1772899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2159148">
      <w:bodyDiv w:val="1"/>
      <w:marLeft w:val="0"/>
      <w:marRight w:val="0"/>
      <w:marTop w:val="0"/>
      <w:marBottom w:val="0"/>
      <w:divBdr>
        <w:top w:val="none" w:sz="0" w:space="0" w:color="auto"/>
        <w:left w:val="none" w:sz="0" w:space="0" w:color="auto"/>
        <w:bottom w:val="none" w:sz="0" w:space="0" w:color="auto"/>
        <w:right w:val="none" w:sz="0" w:space="0" w:color="auto"/>
      </w:divBdr>
    </w:div>
    <w:div w:id="1459452850">
      <w:bodyDiv w:val="1"/>
      <w:marLeft w:val="0"/>
      <w:marRight w:val="0"/>
      <w:marTop w:val="0"/>
      <w:marBottom w:val="0"/>
      <w:divBdr>
        <w:top w:val="none" w:sz="0" w:space="0" w:color="auto"/>
        <w:left w:val="none" w:sz="0" w:space="0" w:color="auto"/>
        <w:bottom w:val="none" w:sz="0" w:space="0" w:color="auto"/>
        <w:right w:val="none" w:sz="0" w:space="0" w:color="auto"/>
      </w:divBdr>
      <w:divsChild>
        <w:div w:id="1565801362">
          <w:marLeft w:val="0"/>
          <w:marRight w:val="0"/>
          <w:marTop w:val="0"/>
          <w:marBottom w:val="0"/>
          <w:divBdr>
            <w:top w:val="none" w:sz="0" w:space="0" w:color="auto"/>
            <w:left w:val="none" w:sz="0" w:space="0" w:color="auto"/>
            <w:bottom w:val="none" w:sz="0" w:space="0" w:color="auto"/>
            <w:right w:val="none" w:sz="0" w:space="0" w:color="auto"/>
          </w:divBdr>
          <w:divsChild>
            <w:div w:id="1786390717">
              <w:marLeft w:val="300"/>
              <w:marRight w:val="300"/>
              <w:marTop w:val="75"/>
              <w:marBottom w:val="300"/>
              <w:divBdr>
                <w:top w:val="none" w:sz="0" w:space="0" w:color="auto"/>
                <w:left w:val="none" w:sz="0" w:space="0" w:color="auto"/>
                <w:bottom w:val="none" w:sz="0" w:space="0" w:color="auto"/>
                <w:right w:val="none" w:sz="0" w:space="0" w:color="auto"/>
              </w:divBdr>
              <w:divsChild>
                <w:div w:id="2130081166">
                  <w:marLeft w:val="0"/>
                  <w:marRight w:val="0"/>
                  <w:marTop w:val="0"/>
                  <w:marBottom w:val="0"/>
                  <w:divBdr>
                    <w:top w:val="none" w:sz="0" w:space="0" w:color="auto"/>
                    <w:left w:val="none" w:sz="0" w:space="0" w:color="auto"/>
                    <w:bottom w:val="none" w:sz="0" w:space="0" w:color="auto"/>
                    <w:right w:val="none" w:sz="0" w:space="0" w:color="auto"/>
                  </w:divBdr>
                  <w:divsChild>
                    <w:div w:id="685792012">
                      <w:marLeft w:val="0"/>
                      <w:marRight w:val="150"/>
                      <w:marTop w:val="150"/>
                      <w:marBottom w:val="300"/>
                      <w:divBdr>
                        <w:top w:val="none" w:sz="0" w:space="0" w:color="auto"/>
                        <w:left w:val="none" w:sz="0" w:space="0" w:color="auto"/>
                        <w:bottom w:val="none" w:sz="0" w:space="0" w:color="auto"/>
                        <w:right w:val="none" w:sz="0" w:space="0" w:color="auto"/>
                      </w:divBdr>
                      <w:divsChild>
                        <w:div w:id="1897012147">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4273408">
      <w:bodyDiv w:val="1"/>
      <w:marLeft w:val="0"/>
      <w:marRight w:val="0"/>
      <w:marTop w:val="0"/>
      <w:marBottom w:val="0"/>
      <w:divBdr>
        <w:top w:val="none" w:sz="0" w:space="0" w:color="auto"/>
        <w:left w:val="none" w:sz="0" w:space="0" w:color="auto"/>
        <w:bottom w:val="none" w:sz="0" w:space="0" w:color="auto"/>
        <w:right w:val="none" w:sz="0" w:space="0" w:color="auto"/>
      </w:divBdr>
    </w:div>
    <w:div w:id="1594825088">
      <w:bodyDiv w:val="1"/>
      <w:marLeft w:val="0"/>
      <w:marRight w:val="0"/>
      <w:marTop w:val="0"/>
      <w:marBottom w:val="0"/>
      <w:divBdr>
        <w:top w:val="none" w:sz="0" w:space="0" w:color="auto"/>
        <w:left w:val="none" w:sz="0" w:space="0" w:color="auto"/>
        <w:bottom w:val="none" w:sz="0" w:space="0" w:color="auto"/>
        <w:right w:val="none" w:sz="0" w:space="0" w:color="auto"/>
      </w:divBdr>
    </w:div>
    <w:div w:id="1694652155">
      <w:bodyDiv w:val="1"/>
      <w:marLeft w:val="0"/>
      <w:marRight w:val="0"/>
      <w:marTop w:val="0"/>
      <w:marBottom w:val="0"/>
      <w:divBdr>
        <w:top w:val="none" w:sz="0" w:space="0" w:color="auto"/>
        <w:left w:val="none" w:sz="0" w:space="0" w:color="auto"/>
        <w:bottom w:val="none" w:sz="0" w:space="0" w:color="auto"/>
        <w:right w:val="none" w:sz="0" w:space="0" w:color="auto"/>
      </w:divBdr>
      <w:divsChild>
        <w:div w:id="2128700559">
          <w:marLeft w:val="0"/>
          <w:marRight w:val="0"/>
          <w:marTop w:val="0"/>
          <w:marBottom w:val="0"/>
          <w:divBdr>
            <w:top w:val="none" w:sz="0" w:space="0" w:color="auto"/>
            <w:left w:val="none" w:sz="0" w:space="0" w:color="auto"/>
            <w:bottom w:val="none" w:sz="0" w:space="0" w:color="auto"/>
            <w:right w:val="none" w:sz="0" w:space="0" w:color="auto"/>
          </w:divBdr>
          <w:divsChild>
            <w:div w:id="1307933684">
              <w:marLeft w:val="0"/>
              <w:marRight w:val="0"/>
              <w:marTop w:val="0"/>
              <w:marBottom w:val="0"/>
              <w:divBdr>
                <w:top w:val="none" w:sz="0" w:space="0" w:color="auto"/>
                <w:left w:val="none" w:sz="0" w:space="0" w:color="auto"/>
                <w:bottom w:val="none" w:sz="0" w:space="0" w:color="auto"/>
                <w:right w:val="none" w:sz="0" w:space="0" w:color="auto"/>
              </w:divBdr>
              <w:divsChild>
                <w:div w:id="1471904098">
                  <w:marLeft w:val="0"/>
                  <w:marRight w:val="0"/>
                  <w:marTop w:val="0"/>
                  <w:marBottom w:val="0"/>
                  <w:divBdr>
                    <w:top w:val="none" w:sz="0" w:space="0" w:color="auto"/>
                    <w:left w:val="none" w:sz="0" w:space="0" w:color="auto"/>
                    <w:bottom w:val="none" w:sz="0" w:space="0" w:color="auto"/>
                    <w:right w:val="none" w:sz="0" w:space="0" w:color="auto"/>
                  </w:divBdr>
                  <w:divsChild>
                    <w:div w:id="328947347">
                      <w:marLeft w:val="0"/>
                      <w:marRight w:val="0"/>
                      <w:marTop w:val="0"/>
                      <w:marBottom w:val="0"/>
                      <w:divBdr>
                        <w:top w:val="none" w:sz="0" w:space="0" w:color="auto"/>
                        <w:left w:val="none" w:sz="0" w:space="0" w:color="auto"/>
                        <w:bottom w:val="none" w:sz="0" w:space="0" w:color="auto"/>
                        <w:right w:val="none" w:sz="0" w:space="0" w:color="auto"/>
                      </w:divBdr>
                      <w:divsChild>
                        <w:div w:id="236522741">
                          <w:marLeft w:val="0"/>
                          <w:marRight w:val="0"/>
                          <w:marTop w:val="0"/>
                          <w:marBottom w:val="0"/>
                          <w:divBdr>
                            <w:top w:val="none" w:sz="0" w:space="0" w:color="auto"/>
                            <w:left w:val="none" w:sz="0" w:space="0" w:color="auto"/>
                            <w:bottom w:val="none" w:sz="0" w:space="0" w:color="auto"/>
                            <w:right w:val="none" w:sz="0" w:space="0" w:color="auto"/>
                          </w:divBdr>
                          <w:divsChild>
                            <w:div w:id="8048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632125">
      <w:bodyDiv w:val="1"/>
      <w:marLeft w:val="0"/>
      <w:marRight w:val="0"/>
      <w:marTop w:val="0"/>
      <w:marBottom w:val="0"/>
      <w:divBdr>
        <w:top w:val="none" w:sz="0" w:space="0" w:color="auto"/>
        <w:left w:val="none" w:sz="0" w:space="0" w:color="auto"/>
        <w:bottom w:val="none" w:sz="0" w:space="0" w:color="auto"/>
        <w:right w:val="none" w:sz="0" w:space="0" w:color="auto"/>
      </w:divBdr>
    </w:div>
    <w:div w:id="1770856286">
      <w:bodyDiv w:val="1"/>
      <w:marLeft w:val="0"/>
      <w:marRight w:val="0"/>
      <w:marTop w:val="0"/>
      <w:marBottom w:val="0"/>
      <w:divBdr>
        <w:top w:val="none" w:sz="0" w:space="0" w:color="auto"/>
        <w:left w:val="none" w:sz="0" w:space="0" w:color="auto"/>
        <w:bottom w:val="none" w:sz="0" w:space="0" w:color="auto"/>
        <w:right w:val="none" w:sz="0" w:space="0" w:color="auto"/>
      </w:divBdr>
    </w:div>
    <w:div w:id="20780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lor.be/sites/www.vlor.be/files/brussels_-_arts_education_-_december_2013.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edu/ceri/arts.htm" TargetMode="External"/><Relationship Id="rId17" Type="http://schemas.openxmlformats.org/officeDocument/2006/relationships/hyperlink" Target="http://www.sirius-migrationeducation.org/the-face-of-diversity-how-to-increase-the-representation-of-people-with-a-migrant-background-in-education-stakeholder-meeting-report/" TargetMode="External"/><Relationship Id="rId2" Type="http://schemas.openxmlformats.org/officeDocument/2006/relationships/numbering" Target="numbering.xml"/><Relationship Id="rId16" Type="http://schemas.openxmlformats.org/officeDocument/2006/relationships/hyperlink" Target="http://www.eucis-lll.eu/events/past-public-hearings/policy-debate-digital-wave-supporting-a-cultural-shift-in-learning-systems-4-march-ep/?utm_source=EUCIS-LLL%20general&amp;utm_campaign=a21bd2a326-EUCIS_LLL_newsletter_57_Aprilr_20129_28_2013&amp;utm_medium=email&amp;utm_term=0_f4e5c60751-a21bd2a326-96977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nec.eu/sites/www.eunec.eu/files/management/attachments/doc_061monitor_handout.pdf" TargetMode="External"/><Relationship Id="rId5" Type="http://schemas.openxmlformats.org/officeDocument/2006/relationships/settings" Target="settings.xml"/><Relationship Id="rId15" Type="http://schemas.openxmlformats.org/officeDocument/2006/relationships/hyperlink" Target="http://www.eucis-lll.eu/news/eucis-lll-news/eucis-lll-position-on-opening-up-education-maintreaming-and-priorizing-digital-access-in-lll/?utm_source=EUCIS-LLL+general&amp;utm_campaign=a21bd2a326-EUCIS_LLL_newsletter_57_Aprilr_20129_28_2013&amp;utm_medium=email&amp;utm_term=0_f4e5c60751-a21bd2a326-9697749" TargetMode="External"/><Relationship Id="rId10" Type="http://schemas.openxmlformats.org/officeDocument/2006/relationships/hyperlink" Target="http://www.eunec.eu/sites/www.eunec.eu/files/attachment/files/doc_057_ehe_world_hh_05_12_201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leva.eu/event/bigger-schools-better-governanc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1C31-2625-43C7-8931-D20A7697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1997</Words>
  <Characters>10988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13</cp:revision>
  <cp:lastPrinted>2014-03-18T07:10:00Z</cp:lastPrinted>
  <dcterms:created xsi:type="dcterms:W3CDTF">2014-02-26T15:21:00Z</dcterms:created>
  <dcterms:modified xsi:type="dcterms:W3CDTF">2014-04-23T14:22:00Z</dcterms:modified>
</cp:coreProperties>
</file>