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87" w:rsidRPr="0061315F" w:rsidRDefault="0061315F" w:rsidP="00AD30DE">
      <w:pPr>
        <w:jc w:val="center"/>
        <w:rPr>
          <w:b/>
          <w:lang w:val="en-US"/>
        </w:rPr>
      </w:pPr>
      <w:r w:rsidRPr="0061315F">
        <w:rPr>
          <w:b/>
          <w:lang w:val="en-US"/>
        </w:rPr>
        <w:t>Cyprus policy towards</w:t>
      </w:r>
      <w:r>
        <w:rPr>
          <w:b/>
          <w:lang w:val="en-US"/>
        </w:rPr>
        <w:t xml:space="preserve"> achieving the Europe 2020 strategy target for ESL</w:t>
      </w:r>
    </w:p>
    <w:p w:rsidR="009B4773" w:rsidRDefault="009B4773" w:rsidP="00D55316">
      <w:pPr>
        <w:rPr>
          <w:b/>
        </w:rPr>
      </w:pPr>
    </w:p>
    <w:p w:rsidR="00AD5D6B" w:rsidRPr="00AD5D6B" w:rsidRDefault="00AD5D6B" w:rsidP="00D55316">
      <w:pPr>
        <w:rPr>
          <w:b/>
          <w:lang w:val="en-US"/>
        </w:rPr>
      </w:pPr>
      <w:r w:rsidRPr="00AD5D6B">
        <w:rPr>
          <w:b/>
          <w:lang w:val="en-US"/>
        </w:rPr>
        <w:t>Introduction</w:t>
      </w:r>
    </w:p>
    <w:p w:rsidR="00480DD1" w:rsidRDefault="00D55316" w:rsidP="00D55316">
      <w:pPr>
        <w:rPr>
          <w:lang w:val="en-US"/>
        </w:rPr>
      </w:pPr>
      <w:r w:rsidRPr="00D55316">
        <w:rPr>
          <w:lang w:val="en-US"/>
        </w:rPr>
        <w:t>Cyprus is working towards achieving the national target of the EU2020 strategy</w:t>
      </w:r>
      <w:r w:rsidR="00AA0F72">
        <w:rPr>
          <w:lang w:val="en-US"/>
        </w:rPr>
        <w:t>,</w:t>
      </w:r>
      <w:r w:rsidRPr="00D55316">
        <w:rPr>
          <w:lang w:val="en-US"/>
        </w:rPr>
        <w:t xml:space="preserve"> for reducing the ESL rate to 10% by 2020. </w:t>
      </w:r>
      <w:r w:rsidRPr="0061315F">
        <w:rPr>
          <w:lang w:val="en-US"/>
        </w:rPr>
        <w:t>Achieving t</w:t>
      </w:r>
      <w:r>
        <w:rPr>
          <w:lang w:val="en-US"/>
        </w:rPr>
        <w:t xml:space="preserve">he target set in the strategy </w:t>
      </w:r>
      <w:r w:rsidR="00480DD1">
        <w:rPr>
          <w:lang w:val="en-US"/>
        </w:rPr>
        <w:t>is a top priority for Cyprus</w:t>
      </w:r>
      <w:r w:rsidRPr="0061315F">
        <w:rPr>
          <w:lang w:val="en-US"/>
        </w:rPr>
        <w:t>.</w:t>
      </w:r>
    </w:p>
    <w:p w:rsidR="00A426D1" w:rsidRDefault="00A426D1" w:rsidP="00A426D1">
      <w:pPr>
        <w:rPr>
          <w:lang w:val="en-US"/>
        </w:rPr>
      </w:pPr>
      <w:r w:rsidRPr="00665741">
        <w:rPr>
          <w:lang w:val="en-US"/>
        </w:rPr>
        <w:t xml:space="preserve">To achieve these goals </w:t>
      </w:r>
      <w:r>
        <w:rPr>
          <w:lang w:val="en-US"/>
        </w:rPr>
        <w:t xml:space="preserve">and address the ESL problem, Cyprus, is working towards increasing the opportunities </w:t>
      </w:r>
      <w:r w:rsidRPr="00665741">
        <w:rPr>
          <w:lang w:val="en-US"/>
        </w:rPr>
        <w:t>to keep young people in education and training</w:t>
      </w:r>
      <w:r>
        <w:rPr>
          <w:lang w:val="en-US"/>
        </w:rPr>
        <w:t>. Particular emphasis is placed on prevention and early intervention programmes</w:t>
      </w:r>
      <w:r w:rsidRPr="00665741">
        <w:rPr>
          <w:lang w:val="en-US"/>
        </w:rPr>
        <w:t xml:space="preserve"> since leaving school early means lost opportunities for young people and loss of social and economic potential for each Member State, but also for the </w:t>
      </w:r>
      <w:r w:rsidR="00AA0F72">
        <w:rPr>
          <w:lang w:val="en-US"/>
        </w:rPr>
        <w:t xml:space="preserve">whole of </w:t>
      </w:r>
      <w:r w:rsidRPr="00665741">
        <w:rPr>
          <w:lang w:val="en-US"/>
        </w:rPr>
        <w:t>the European Union.</w:t>
      </w:r>
      <w:r w:rsidRPr="0061315F">
        <w:rPr>
          <w:lang w:val="en-US"/>
        </w:rPr>
        <w:t xml:space="preserve"> </w:t>
      </w:r>
    </w:p>
    <w:p w:rsidR="00A426D1" w:rsidRDefault="00A426D1" w:rsidP="00A426D1">
      <w:pPr>
        <w:rPr>
          <w:lang w:val="en-US"/>
        </w:rPr>
      </w:pPr>
      <w:r>
        <w:rPr>
          <w:lang w:val="en-US"/>
        </w:rPr>
        <w:t>For Cyprus p</w:t>
      </w:r>
      <w:r w:rsidRPr="0061315F">
        <w:rPr>
          <w:lang w:val="en-US"/>
        </w:rPr>
        <w:t xml:space="preserve">revention </w:t>
      </w:r>
      <w:r>
        <w:rPr>
          <w:lang w:val="en-US"/>
        </w:rPr>
        <w:t>is of particular importance</w:t>
      </w:r>
      <w:r w:rsidRPr="0061315F">
        <w:rPr>
          <w:lang w:val="en-US"/>
        </w:rPr>
        <w:t xml:space="preserve">, since </w:t>
      </w:r>
      <w:r>
        <w:rPr>
          <w:lang w:val="en-US"/>
        </w:rPr>
        <w:t xml:space="preserve">it is more effective and can provide better results. </w:t>
      </w:r>
      <w:r w:rsidR="00AA0F72">
        <w:rPr>
          <w:lang w:val="en-US"/>
        </w:rPr>
        <w:t>I</w:t>
      </w:r>
      <w:r w:rsidRPr="0061315F">
        <w:rPr>
          <w:lang w:val="en-US"/>
        </w:rPr>
        <w:t>t is generally accepted and has been d</w:t>
      </w:r>
      <w:r>
        <w:rPr>
          <w:lang w:val="en-US"/>
        </w:rPr>
        <w:t>emonstrated by numerous studies</w:t>
      </w:r>
      <w:r w:rsidRPr="0061315F">
        <w:rPr>
          <w:lang w:val="en-US"/>
        </w:rPr>
        <w:t>, both in Cyprus and in other Member St</w:t>
      </w:r>
      <w:r w:rsidR="00AA0F72">
        <w:rPr>
          <w:lang w:val="en-US"/>
        </w:rPr>
        <w:t>ates , that early school leaving is main</w:t>
      </w:r>
      <w:r w:rsidRPr="0061315F">
        <w:rPr>
          <w:lang w:val="en-US"/>
        </w:rPr>
        <w:t>ly focused on specific groups of students and school population in specific areas and schools.</w:t>
      </w:r>
    </w:p>
    <w:p w:rsidR="00485A17" w:rsidRDefault="00485A17" w:rsidP="00D55316">
      <w:pPr>
        <w:rPr>
          <w:b/>
        </w:rPr>
      </w:pPr>
    </w:p>
    <w:p w:rsidR="00A426D1" w:rsidRPr="00A426D1" w:rsidRDefault="00A426D1" w:rsidP="00D55316">
      <w:pPr>
        <w:rPr>
          <w:b/>
          <w:lang w:val="en-US"/>
        </w:rPr>
      </w:pPr>
      <w:r w:rsidRPr="00A426D1">
        <w:rPr>
          <w:b/>
          <w:lang w:val="en-US"/>
        </w:rPr>
        <w:t>Cyprus figures on ESL</w:t>
      </w:r>
    </w:p>
    <w:p w:rsidR="00D55316" w:rsidRPr="00D55316" w:rsidRDefault="00480DD1" w:rsidP="00D55316">
      <w:pPr>
        <w:rPr>
          <w:lang w:val="en-US"/>
        </w:rPr>
      </w:pPr>
      <w:r>
        <w:rPr>
          <w:lang w:val="en-US"/>
        </w:rPr>
        <w:t xml:space="preserve">Starting form year 2003 Cyprus had a dropout rate of 17,3. </w:t>
      </w:r>
      <w:r w:rsidR="00D55316" w:rsidRPr="00D55316">
        <w:rPr>
          <w:lang w:val="en-US"/>
        </w:rPr>
        <w:t>According to the data available by CYSTAT (20/9/13) for the year 2012</w:t>
      </w:r>
      <w:r w:rsidR="00AA0F72">
        <w:rPr>
          <w:lang w:val="en-US"/>
        </w:rPr>
        <w:t>,</w:t>
      </w:r>
      <w:r w:rsidR="00D55316" w:rsidRPr="00D55316">
        <w:rPr>
          <w:lang w:val="en-US"/>
        </w:rPr>
        <w:t xml:space="preserve"> the percentage of dropout rate was 11,4%. The data available by CYSTAT (20/9/13) for the 1st quarter of year 2013</w:t>
      </w:r>
      <w:r w:rsidR="00AA0F72">
        <w:rPr>
          <w:lang w:val="en-US"/>
        </w:rPr>
        <w:t>,</w:t>
      </w:r>
      <w:r w:rsidR="00D55316" w:rsidRPr="00D55316">
        <w:rPr>
          <w:lang w:val="en-US"/>
        </w:rPr>
        <w:t xml:space="preserve"> was 10,9 and 7,9 for the 2nd quarter.</w:t>
      </w:r>
      <w:r>
        <w:rPr>
          <w:lang w:val="en-US"/>
        </w:rPr>
        <w:t xml:space="preserve"> </w:t>
      </w:r>
    </w:p>
    <w:p w:rsidR="00D55316" w:rsidRPr="0061315F" w:rsidRDefault="00C14F5E" w:rsidP="00D55316">
      <w:pPr>
        <w:rPr>
          <w:lang w:val="en-US"/>
        </w:rPr>
      </w:pPr>
      <w:hyperlink r:id="rId5" w:history="1">
        <w:r w:rsidR="00D55316" w:rsidRPr="00647F30">
          <w:rPr>
            <w:rStyle w:val="Hyperlink"/>
            <w:lang w:val="en-US"/>
          </w:rPr>
          <w:t>http://www.mof.gov.cy/mof/cystat/statistics.nsf/labour_31main_en/labour_31main_en?OpenForm&amp;sub=1&amp;sel=2</w:t>
        </w:r>
      </w:hyperlink>
      <w:r w:rsidR="00D55316">
        <w:rPr>
          <w:lang w:val="en-US"/>
        </w:rPr>
        <w:t xml:space="preserve"> </w:t>
      </w:r>
      <w:r w:rsidR="00D55316" w:rsidRPr="00D55316">
        <w:rPr>
          <w:lang w:val="en-US"/>
        </w:rPr>
        <w:t>(LABOUR FORCE SURVEY - MAIN RESULTS, 2nd QUARTER 2013)</w:t>
      </w:r>
    </w:p>
    <w:p w:rsidR="00480DD1" w:rsidRDefault="00480DD1" w:rsidP="0061315F">
      <w:pPr>
        <w:rPr>
          <w:lang w:val="en-US"/>
        </w:rPr>
      </w:pPr>
      <w:r>
        <w:rPr>
          <w:lang w:val="en-US"/>
        </w:rPr>
        <w:t>The latest figures show a dramatic decrease in the ESL rate that can be accounted both to the successful implementation of a series of programmes during the last few years and to the departure of many immigrant citizens from the country due to the severe economic conditions on the island. Cyprus will pay particular attention to the results of the coming months in order to verify the latest figures.</w:t>
      </w:r>
    </w:p>
    <w:p w:rsidR="005339AE" w:rsidRPr="005339AE" w:rsidRDefault="005339AE" w:rsidP="005339AE">
      <w:pPr>
        <w:rPr>
          <w:lang w:val="en-US"/>
        </w:rPr>
      </w:pPr>
      <w:r w:rsidRPr="005339AE">
        <w:rPr>
          <w:lang w:val="en-US"/>
        </w:rPr>
        <w:t>In order to meet the national target of reducing the rate of early school leavers by 2020, a series of priority measures with aim to facilitate the integration of students at risk, increase the attractiveness of technical vocational  education and training and increase participation in Higher Education have been introduced.</w:t>
      </w:r>
    </w:p>
    <w:p w:rsidR="009B4773" w:rsidRDefault="009B4773" w:rsidP="005339AE">
      <w:pPr>
        <w:rPr>
          <w:b/>
          <w:lang w:val="en-US"/>
        </w:rPr>
        <w:sectPr w:rsidR="009B4773" w:rsidSect="00F43981">
          <w:pgSz w:w="11906" w:h="16838"/>
          <w:pgMar w:top="1440" w:right="1800" w:bottom="1440" w:left="1800" w:header="708" w:footer="708" w:gutter="0"/>
          <w:cols w:space="708"/>
          <w:docGrid w:linePitch="360"/>
        </w:sectPr>
      </w:pPr>
    </w:p>
    <w:p w:rsidR="00A426D1" w:rsidRPr="00A426D1" w:rsidRDefault="00A426D1" w:rsidP="005339AE">
      <w:pPr>
        <w:rPr>
          <w:b/>
          <w:lang w:val="en-US"/>
        </w:rPr>
      </w:pPr>
      <w:r w:rsidRPr="00A426D1">
        <w:rPr>
          <w:b/>
          <w:lang w:val="en-US"/>
        </w:rPr>
        <w:lastRenderedPageBreak/>
        <w:t>Policy and actions towards tackling ESL</w:t>
      </w:r>
    </w:p>
    <w:p w:rsidR="005339AE" w:rsidRPr="005339AE" w:rsidRDefault="00A426D1" w:rsidP="005339AE">
      <w:pPr>
        <w:rPr>
          <w:lang w:val="en-US"/>
        </w:rPr>
      </w:pPr>
      <w:r>
        <w:rPr>
          <w:lang w:val="en-US"/>
        </w:rPr>
        <w:t>To tackle the</w:t>
      </w:r>
      <w:r w:rsidRPr="00DC70CC">
        <w:rPr>
          <w:lang w:val="en-US"/>
        </w:rPr>
        <w:t xml:space="preserve"> </w:t>
      </w:r>
      <w:r>
        <w:rPr>
          <w:lang w:val="en-US"/>
        </w:rPr>
        <w:t>issue</w:t>
      </w:r>
      <w:r w:rsidRPr="00DC70CC">
        <w:rPr>
          <w:lang w:val="en-US"/>
        </w:rPr>
        <w:t xml:space="preserve">, </w:t>
      </w:r>
      <w:r>
        <w:rPr>
          <w:lang w:val="en-US"/>
        </w:rPr>
        <w:t>Cyprus has</w:t>
      </w:r>
      <w:r w:rsidRPr="00DC70CC">
        <w:rPr>
          <w:lang w:val="en-US"/>
        </w:rPr>
        <w:t xml:space="preserve"> developed a compr</w:t>
      </w:r>
      <w:r>
        <w:rPr>
          <w:lang w:val="en-US"/>
        </w:rPr>
        <w:t xml:space="preserve">ehensive strategy that includes measures for the key stages of </w:t>
      </w:r>
      <w:r w:rsidRPr="00DC70CC">
        <w:rPr>
          <w:lang w:val="en-US"/>
        </w:rPr>
        <w:t xml:space="preserve">prevention, intervention and compensation. In all </w:t>
      </w:r>
      <w:r>
        <w:rPr>
          <w:lang w:val="en-US"/>
        </w:rPr>
        <w:t>three stages Cyprus</w:t>
      </w:r>
      <w:r w:rsidRPr="00DC70CC">
        <w:rPr>
          <w:lang w:val="en-US"/>
        </w:rPr>
        <w:t xml:space="preserve"> </w:t>
      </w:r>
      <w:r>
        <w:rPr>
          <w:lang w:val="en-US"/>
        </w:rPr>
        <w:t xml:space="preserve">has implemented specific actions during the recent </w:t>
      </w:r>
      <w:r w:rsidRPr="00DC70CC">
        <w:rPr>
          <w:lang w:val="en-US"/>
        </w:rPr>
        <w:t>year</w:t>
      </w:r>
      <w:r>
        <w:rPr>
          <w:lang w:val="en-US"/>
        </w:rPr>
        <w:t xml:space="preserve">s. </w:t>
      </w:r>
      <w:r w:rsidR="009D3628">
        <w:rPr>
          <w:lang w:val="en-US"/>
        </w:rPr>
        <w:t>The most important objectives</w:t>
      </w:r>
      <w:r w:rsidR="005339AE" w:rsidRPr="005339AE">
        <w:rPr>
          <w:lang w:val="en-US"/>
        </w:rPr>
        <w:t xml:space="preserve"> </w:t>
      </w:r>
      <w:r>
        <w:rPr>
          <w:lang w:val="en-US"/>
        </w:rPr>
        <w:t xml:space="preserve">of these measures </w:t>
      </w:r>
      <w:r w:rsidR="005339AE" w:rsidRPr="005339AE">
        <w:rPr>
          <w:lang w:val="en-US"/>
        </w:rPr>
        <w:t>include the following:</w:t>
      </w:r>
    </w:p>
    <w:p w:rsidR="005339AE" w:rsidRPr="009B4773" w:rsidRDefault="005339AE" w:rsidP="009B4773">
      <w:pPr>
        <w:pStyle w:val="ListParagraph"/>
        <w:numPr>
          <w:ilvl w:val="0"/>
          <w:numId w:val="2"/>
        </w:numPr>
        <w:ind w:hanging="720"/>
        <w:rPr>
          <w:b/>
          <w:lang w:val="en-US"/>
        </w:rPr>
      </w:pPr>
      <w:r w:rsidRPr="00AD30DE">
        <w:rPr>
          <w:b/>
          <w:lang w:val="en-US"/>
        </w:rPr>
        <w:t>Restructuring the educational system and modernizing and upgrading the curriculum for all public schools (from Pre-primary to Upper Secondary Education);</w:t>
      </w:r>
    </w:p>
    <w:p w:rsidR="005339AE" w:rsidRPr="005339AE" w:rsidRDefault="005339AE" w:rsidP="005339AE">
      <w:pPr>
        <w:ind w:left="709"/>
        <w:rPr>
          <w:lang w:val="en-US"/>
        </w:rPr>
      </w:pPr>
      <w:r w:rsidRPr="005339AE">
        <w:rPr>
          <w:lang w:val="en-US"/>
        </w:rPr>
        <w:t>The main objective is to improve the openness and relevance of the education and training systems through the introduction of a new curriculum that will focus on the development of new skills and key competences.</w:t>
      </w:r>
      <w:r w:rsidR="00657F0E" w:rsidRPr="005339AE">
        <w:rPr>
          <w:lang w:val="en-US"/>
        </w:rPr>
        <w:t xml:space="preserve"> </w:t>
      </w:r>
    </w:p>
    <w:p w:rsidR="005339AE" w:rsidRPr="005339AE" w:rsidRDefault="005339AE" w:rsidP="005339AE">
      <w:pPr>
        <w:rPr>
          <w:b/>
          <w:lang w:val="en-US"/>
        </w:rPr>
      </w:pPr>
      <w:r w:rsidRPr="005339AE">
        <w:rPr>
          <w:b/>
          <w:lang w:val="en-US"/>
        </w:rPr>
        <w:t>2.</w:t>
      </w:r>
      <w:r w:rsidRPr="005339AE">
        <w:rPr>
          <w:b/>
          <w:lang w:val="en-US"/>
        </w:rPr>
        <w:tab/>
        <w:t>Facilitating the integration of students at risk to the school system;</w:t>
      </w:r>
    </w:p>
    <w:p w:rsidR="005339AE" w:rsidRDefault="005339AE" w:rsidP="005339AE">
      <w:pPr>
        <w:ind w:left="709"/>
        <w:rPr>
          <w:lang w:val="en-US"/>
        </w:rPr>
      </w:pPr>
      <w:r w:rsidRPr="005339AE">
        <w:rPr>
          <w:lang w:val="en-US"/>
        </w:rPr>
        <w:t>The measures referred hereafter envisage to facilitate school enrollment and school success as well as to effectively address any issues of antisocial and delinquent behavior factors that contribute to early school leaving phenomena. The quantitative target for these measures concerns the percentage of the total student population enrolled in an educational establishment belonging to a Zone of Educational Priority (ZEP), by raising the enrollment ratio to 15%.</w:t>
      </w:r>
    </w:p>
    <w:p w:rsidR="005339AE" w:rsidRPr="005339AE" w:rsidRDefault="005339AE" w:rsidP="005339AE">
      <w:pPr>
        <w:rPr>
          <w:b/>
          <w:lang w:val="en-US"/>
        </w:rPr>
      </w:pPr>
      <w:r w:rsidRPr="005339AE">
        <w:rPr>
          <w:b/>
          <w:lang w:val="en-US"/>
        </w:rPr>
        <w:t>3.</w:t>
      </w:r>
      <w:r w:rsidRPr="005339AE">
        <w:rPr>
          <w:b/>
          <w:lang w:val="en-US"/>
        </w:rPr>
        <w:tab/>
        <w:t xml:space="preserve">Upgrading Vocational Education and Training </w:t>
      </w:r>
    </w:p>
    <w:p w:rsidR="005339AE" w:rsidRDefault="005339AE" w:rsidP="005339AE">
      <w:pPr>
        <w:ind w:left="709"/>
        <w:rPr>
          <w:lang w:val="en-US"/>
        </w:rPr>
      </w:pPr>
      <w:r w:rsidRPr="005339AE">
        <w:rPr>
          <w:lang w:val="en-US"/>
        </w:rPr>
        <w:t xml:space="preserve">The measures presented here after aim to improve the quality and attractiveness of the education and training systems. They include actions other than the restructure of Upper Secondary and Secondary Technical and Vocational Education and are focused on expanding the quality of education and the opportunities presented to the students of Technical and Vocational Schools. The quantitative targets include raising the student population of Technical and Vocational Education.  </w:t>
      </w:r>
    </w:p>
    <w:p w:rsidR="005339AE" w:rsidRPr="005339AE" w:rsidRDefault="005339AE" w:rsidP="005339AE">
      <w:pPr>
        <w:ind w:left="709" w:hanging="709"/>
        <w:rPr>
          <w:b/>
          <w:lang w:val="en-US"/>
        </w:rPr>
      </w:pPr>
      <w:r w:rsidRPr="005339AE">
        <w:rPr>
          <w:b/>
          <w:lang w:val="en-US"/>
        </w:rPr>
        <w:t>4.</w:t>
      </w:r>
      <w:r w:rsidRPr="005339AE">
        <w:rPr>
          <w:b/>
          <w:lang w:val="en-US"/>
        </w:rPr>
        <w:tab/>
        <w:t>Strengthening the links between vocational education, training and the labor market;</w:t>
      </w:r>
    </w:p>
    <w:p w:rsidR="005339AE" w:rsidRDefault="005339AE" w:rsidP="005339AE">
      <w:pPr>
        <w:ind w:left="709"/>
        <w:rPr>
          <w:lang w:val="en-US"/>
        </w:rPr>
      </w:pPr>
      <w:r w:rsidRPr="005339AE">
        <w:rPr>
          <w:lang w:val="en-US"/>
        </w:rPr>
        <w:t xml:space="preserve">All efforts are currently shifted in the creation of an intermediate level of education, between upper secondary and tertiary, which will offer to learners at affordable cost, education and training programs complementary to the ones offered by Private Colleges. The quantitative target is the operation of at least one Post Secondary Institute for Technical and Vocational Education and Training (PSITVE) in all provinces by 2012 and the enrollment of the total of </w:t>
      </w:r>
      <w:r w:rsidR="00657F0E" w:rsidRPr="00657F0E">
        <w:rPr>
          <w:lang w:val="en-US"/>
        </w:rPr>
        <w:t>196</w:t>
      </w:r>
      <w:r w:rsidRPr="005339AE">
        <w:rPr>
          <w:lang w:val="en-US"/>
        </w:rPr>
        <w:t xml:space="preserve"> students at the </w:t>
      </w:r>
      <w:r>
        <w:rPr>
          <w:lang w:val="en-US"/>
        </w:rPr>
        <w:t xml:space="preserve">first year of their operation. </w:t>
      </w:r>
    </w:p>
    <w:p w:rsidR="005339AE" w:rsidRPr="005339AE" w:rsidRDefault="005339AE" w:rsidP="005339AE">
      <w:pPr>
        <w:rPr>
          <w:b/>
          <w:lang w:val="en-US"/>
        </w:rPr>
      </w:pPr>
      <w:r w:rsidRPr="005339AE">
        <w:rPr>
          <w:b/>
          <w:lang w:val="en-US"/>
        </w:rPr>
        <w:t>5.</w:t>
      </w:r>
      <w:r w:rsidRPr="005339AE">
        <w:rPr>
          <w:b/>
          <w:lang w:val="en-US"/>
        </w:rPr>
        <w:tab/>
        <w:t xml:space="preserve">Expanding the modernizing the higher education system; and </w:t>
      </w:r>
    </w:p>
    <w:p w:rsidR="005339AE" w:rsidRDefault="005339AE" w:rsidP="005339AE">
      <w:pPr>
        <w:ind w:left="709"/>
        <w:rPr>
          <w:lang w:val="en-US"/>
        </w:rPr>
      </w:pPr>
      <w:r w:rsidRPr="005339AE">
        <w:rPr>
          <w:lang w:val="en-US"/>
        </w:rPr>
        <w:t xml:space="preserve">In order to be able to increase the number of students attending Higher Education the Ministry of Education and   Culture, other competent ministries, such as the Ministry of Finance and the Ministry of Labor and Social Securities, High Education Institutions, businesses, local industries and the labor market are enhancing their </w:t>
      </w:r>
      <w:r w:rsidRPr="005339AE">
        <w:rPr>
          <w:lang w:val="en-US"/>
        </w:rPr>
        <w:lastRenderedPageBreak/>
        <w:t>cooperation towards the development of an action plan for reinforcing the links between Higher Education and the labor market. The quantitative targets include the increase at 20-22% of the students attending programs of study related to s</w:t>
      </w:r>
      <w:r>
        <w:rPr>
          <w:lang w:val="en-US"/>
        </w:rPr>
        <w:t>cience and technology by 2020.</w:t>
      </w:r>
      <w:bookmarkStart w:id="0" w:name="_GoBack"/>
      <w:bookmarkEnd w:id="0"/>
    </w:p>
    <w:p w:rsidR="005339AE" w:rsidRPr="005339AE" w:rsidRDefault="005339AE" w:rsidP="005339AE">
      <w:pPr>
        <w:rPr>
          <w:b/>
          <w:lang w:val="en-US"/>
        </w:rPr>
      </w:pPr>
      <w:r w:rsidRPr="005339AE">
        <w:rPr>
          <w:b/>
          <w:lang w:val="en-US"/>
        </w:rPr>
        <w:t>6.</w:t>
      </w:r>
      <w:r w:rsidRPr="005339AE">
        <w:rPr>
          <w:b/>
          <w:lang w:val="en-US"/>
        </w:rPr>
        <w:tab/>
        <w:t>Promoting transnational mobility.</w:t>
      </w:r>
    </w:p>
    <w:p w:rsidR="005339AE" w:rsidRDefault="009D3628" w:rsidP="009D3628">
      <w:pPr>
        <w:ind w:left="709"/>
        <w:rPr>
          <w:lang w:val="en-US"/>
        </w:rPr>
      </w:pPr>
      <w:r w:rsidRPr="009D3628">
        <w:rPr>
          <w:lang w:val="en-US"/>
        </w:rPr>
        <w:t>This measure has a strong element on geographical mobility as well as the promotion of Lifelong Learning. The aim is to encourage all students and adults to actively participate in EU mobility programs for education, training or employment placements in enterprises abroad. The quantitative target is none other than the increase of the number of participants.</w:t>
      </w:r>
    </w:p>
    <w:sectPr w:rsidR="005339AE" w:rsidSect="00F439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B08A0"/>
    <w:multiLevelType w:val="hybridMultilevel"/>
    <w:tmpl w:val="06A66CBE"/>
    <w:lvl w:ilvl="0" w:tplc="36DE599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BC17F10"/>
    <w:multiLevelType w:val="hybridMultilevel"/>
    <w:tmpl w:val="C17AE7B8"/>
    <w:lvl w:ilvl="0" w:tplc="5D701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15F"/>
    <w:rsid w:val="0000028A"/>
    <w:rsid w:val="000015C6"/>
    <w:rsid w:val="000021D5"/>
    <w:rsid w:val="00002BDD"/>
    <w:rsid w:val="00002F4B"/>
    <w:rsid w:val="00003F61"/>
    <w:rsid w:val="000047F3"/>
    <w:rsid w:val="000050BF"/>
    <w:rsid w:val="000068BA"/>
    <w:rsid w:val="00006BFE"/>
    <w:rsid w:val="00013451"/>
    <w:rsid w:val="00013E2F"/>
    <w:rsid w:val="0001529C"/>
    <w:rsid w:val="0001792F"/>
    <w:rsid w:val="000232F5"/>
    <w:rsid w:val="0002762F"/>
    <w:rsid w:val="00035B5E"/>
    <w:rsid w:val="0003657A"/>
    <w:rsid w:val="00042E5B"/>
    <w:rsid w:val="0004505A"/>
    <w:rsid w:val="00046E6B"/>
    <w:rsid w:val="00046EEE"/>
    <w:rsid w:val="00050A09"/>
    <w:rsid w:val="000533F5"/>
    <w:rsid w:val="00056382"/>
    <w:rsid w:val="00057FE7"/>
    <w:rsid w:val="00063ED3"/>
    <w:rsid w:val="0006743C"/>
    <w:rsid w:val="00067DF4"/>
    <w:rsid w:val="00072DAC"/>
    <w:rsid w:val="000740B3"/>
    <w:rsid w:val="000745D0"/>
    <w:rsid w:val="00074FDC"/>
    <w:rsid w:val="000801AE"/>
    <w:rsid w:val="000808A6"/>
    <w:rsid w:val="00081AB4"/>
    <w:rsid w:val="00081D81"/>
    <w:rsid w:val="00084D16"/>
    <w:rsid w:val="000852C0"/>
    <w:rsid w:val="00085973"/>
    <w:rsid w:val="00086B11"/>
    <w:rsid w:val="000926F3"/>
    <w:rsid w:val="00095781"/>
    <w:rsid w:val="0009702D"/>
    <w:rsid w:val="0009759D"/>
    <w:rsid w:val="000A2B8F"/>
    <w:rsid w:val="000A3C55"/>
    <w:rsid w:val="000A4081"/>
    <w:rsid w:val="000A6B5B"/>
    <w:rsid w:val="000A76DB"/>
    <w:rsid w:val="000B505A"/>
    <w:rsid w:val="000B7ACF"/>
    <w:rsid w:val="000C08BB"/>
    <w:rsid w:val="000C5240"/>
    <w:rsid w:val="000C736E"/>
    <w:rsid w:val="000D734C"/>
    <w:rsid w:val="000E31F5"/>
    <w:rsid w:val="000E328B"/>
    <w:rsid w:val="000E63C4"/>
    <w:rsid w:val="000E76E6"/>
    <w:rsid w:val="000F0DCF"/>
    <w:rsid w:val="000F1F58"/>
    <w:rsid w:val="000F2A42"/>
    <w:rsid w:val="000F5E69"/>
    <w:rsid w:val="000F7F1C"/>
    <w:rsid w:val="00100327"/>
    <w:rsid w:val="00100F38"/>
    <w:rsid w:val="00103434"/>
    <w:rsid w:val="00104956"/>
    <w:rsid w:val="001071B1"/>
    <w:rsid w:val="001158FB"/>
    <w:rsid w:val="0012062E"/>
    <w:rsid w:val="001208B0"/>
    <w:rsid w:val="001221EA"/>
    <w:rsid w:val="0012250A"/>
    <w:rsid w:val="00124890"/>
    <w:rsid w:val="001258E9"/>
    <w:rsid w:val="00130BC4"/>
    <w:rsid w:val="00133D04"/>
    <w:rsid w:val="00134A19"/>
    <w:rsid w:val="00136887"/>
    <w:rsid w:val="0014170C"/>
    <w:rsid w:val="00141993"/>
    <w:rsid w:val="0014333F"/>
    <w:rsid w:val="0014772A"/>
    <w:rsid w:val="00147D08"/>
    <w:rsid w:val="00150B41"/>
    <w:rsid w:val="001536F2"/>
    <w:rsid w:val="00153EB1"/>
    <w:rsid w:val="0015502B"/>
    <w:rsid w:val="00156581"/>
    <w:rsid w:val="001568F4"/>
    <w:rsid w:val="001569ED"/>
    <w:rsid w:val="00157173"/>
    <w:rsid w:val="0016134F"/>
    <w:rsid w:val="001628A8"/>
    <w:rsid w:val="00162901"/>
    <w:rsid w:val="001641F7"/>
    <w:rsid w:val="0016605F"/>
    <w:rsid w:val="00166829"/>
    <w:rsid w:val="00174743"/>
    <w:rsid w:val="00175079"/>
    <w:rsid w:val="00175BA1"/>
    <w:rsid w:val="001768F3"/>
    <w:rsid w:val="001773C5"/>
    <w:rsid w:val="00184328"/>
    <w:rsid w:val="00185DDD"/>
    <w:rsid w:val="00186F7D"/>
    <w:rsid w:val="00192D30"/>
    <w:rsid w:val="00193F0A"/>
    <w:rsid w:val="0019687B"/>
    <w:rsid w:val="001A63DE"/>
    <w:rsid w:val="001A6C76"/>
    <w:rsid w:val="001A7B92"/>
    <w:rsid w:val="001B0361"/>
    <w:rsid w:val="001B2EDD"/>
    <w:rsid w:val="001B47BB"/>
    <w:rsid w:val="001B61E2"/>
    <w:rsid w:val="001B7B78"/>
    <w:rsid w:val="001B7F29"/>
    <w:rsid w:val="001C0D61"/>
    <w:rsid w:val="001C1695"/>
    <w:rsid w:val="001C7D94"/>
    <w:rsid w:val="001D4395"/>
    <w:rsid w:val="001D7779"/>
    <w:rsid w:val="001E12F0"/>
    <w:rsid w:val="001E27FE"/>
    <w:rsid w:val="001E3D1F"/>
    <w:rsid w:val="001E7211"/>
    <w:rsid w:val="001F08EC"/>
    <w:rsid w:val="001F14BF"/>
    <w:rsid w:val="001F1C6D"/>
    <w:rsid w:val="001F235A"/>
    <w:rsid w:val="001F3B0F"/>
    <w:rsid w:val="00213770"/>
    <w:rsid w:val="00214744"/>
    <w:rsid w:val="00216526"/>
    <w:rsid w:val="002174B8"/>
    <w:rsid w:val="0022476C"/>
    <w:rsid w:val="00224915"/>
    <w:rsid w:val="00230DED"/>
    <w:rsid w:val="002315C2"/>
    <w:rsid w:val="002339EF"/>
    <w:rsid w:val="00234354"/>
    <w:rsid w:val="002407A4"/>
    <w:rsid w:val="0024110B"/>
    <w:rsid w:val="00241F53"/>
    <w:rsid w:val="0024263A"/>
    <w:rsid w:val="00252B49"/>
    <w:rsid w:val="00252FB5"/>
    <w:rsid w:val="00253AF9"/>
    <w:rsid w:val="00262044"/>
    <w:rsid w:val="00262FB7"/>
    <w:rsid w:val="00265FBD"/>
    <w:rsid w:val="00266EC5"/>
    <w:rsid w:val="002707F2"/>
    <w:rsid w:val="002736BE"/>
    <w:rsid w:val="002766D3"/>
    <w:rsid w:val="0027698D"/>
    <w:rsid w:val="002801EE"/>
    <w:rsid w:val="00281C74"/>
    <w:rsid w:val="00281DF6"/>
    <w:rsid w:val="002826EE"/>
    <w:rsid w:val="00282CE7"/>
    <w:rsid w:val="0028597E"/>
    <w:rsid w:val="00293B42"/>
    <w:rsid w:val="00294379"/>
    <w:rsid w:val="00295451"/>
    <w:rsid w:val="002A1078"/>
    <w:rsid w:val="002A205D"/>
    <w:rsid w:val="002A2591"/>
    <w:rsid w:val="002A2852"/>
    <w:rsid w:val="002A4066"/>
    <w:rsid w:val="002A49ED"/>
    <w:rsid w:val="002A6895"/>
    <w:rsid w:val="002A75BD"/>
    <w:rsid w:val="002B1B84"/>
    <w:rsid w:val="002B25BA"/>
    <w:rsid w:val="002B3048"/>
    <w:rsid w:val="002B7551"/>
    <w:rsid w:val="002C3175"/>
    <w:rsid w:val="002D1D3C"/>
    <w:rsid w:val="002D7B66"/>
    <w:rsid w:val="002E43C7"/>
    <w:rsid w:val="002E5343"/>
    <w:rsid w:val="002F32AF"/>
    <w:rsid w:val="002F56B8"/>
    <w:rsid w:val="002F6824"/>
    <w:rsid w:val="002F71FB"/>
    <w:rsid w:val="002F7BE0"/>
    <w:rsid w:val="002F7D66"/>
    <w:rsid w:val="003012A9"/>
    <w:rsid w:val="00303D3C"/>
    <w:rsid w:val="00303D83"/>
    <w:rsid w:val="00304863"/>
    <w:rsid w:val="00306B14"/>
    <w:rsid w:val="00306D7C"/>
    <w:rsid w:val="00313384"/>
    <w:rsid w:val="00313ADA"/>
    <w:rsid w:val="003154E7"/>
    <w:rsid w:val="003210A0"/>
    <w:rsid w:val="00322DCD"/>
    <w:rsid w:val="00323796"/>
    <w:rsid w:val="00324106"/>
    <w:rsid w:val="00324C53"/>
    <w:rsid w:val="003263CD"/>
    <w:rsid w:val="003313DB"/>
    <w:rsid w:val="003325FC"/>
    <w:rsid w:val="00334344"/>
    <w:rsid w:val="0033535F"/>
    <w:rsid w:val="003360C6"/>
    <w:rsid w:val="00336B19"/>
    <w:rsid w:val="003376B1"/>
    <w:rsid w:val="00340F43"/>
    <w:rsid w:val="00346D50"/>
    <w:rsid w:val="0034705E"/>
    <w:rsid w:val="00361409"/>
    <w:rsid w:val="00362188"/>
    <w:rsid w:val="00363063"/>
    <w:rsid w:val="00370413"/>
    <w:rsid w:val="0037129B"/>
    <w:rsid w:val="003717D7"/>
    <w:rsid w:val="003771FE"/>
    <w:rsid w:val="00381728"/>
    <w:rsid w:val="00384148"/>
    <w:rsid w:val="0038429C"/>
    <w:rsid w:val="003856D8"/>
    <w:rsid w:val="0038777D"/>
    <w:rsid w:val="0039035E"/>
    <w:rsid w:val="00392A5B"/>
    <w:rsid w:val="003943DF"/>
    <w:rsid w:val="00395518"/>
    <w:rsid w:val="003965A8"/>
    <w:rsid w:val="003B3789"/>
    <w:rsid w:val="003B73DF"/>
    <w:rsid w:val="003B7564"/>
    <w:rsid w:val="003C768F"/>
    <w:rsid w:val="003D09CD"/>
    <w:rsid w:val="003E3AFF"/>
    <w:rsid w:val="003E568F"/>
    <w:rsid w:val="003E5ED8"/>
    <w:rsid w:val="003E7046"/>
    <w:rsid w:val="003F2CF9"/>
    <w:rsid w:val="003F6CA7"/>
    <w:rsid w:val="004001A0"/>
    <w:rsid w:val="004011A3"/>
    <w:rsid w:val="0040379E"/>
    <w:rsid w:val="00404233"/>
    <w:rsid w:val="00404919"/>
    <w:rsid w:val="00407634"/>
    <w:rsid w:val="00410B05"/>
    <w:rsid w:val="0041173F"/>
    <w:rsid w:val="0042044E"/>
    <w:rsid w:val="00420F06"/>
    <w:rsid w:val="004313E4"/>
    <w:rsid w:val="00431A9C"/>
    <w:rsid w:val="004331C6"/>
    <w:rsid w:val="004346B5"/>
    <w:rsid w:val="004352BA"/>
    <w:rsid w:val="00436E6A"/>
    <w:rsid w:val="0043740D"/>
    <w:rsid w:val="004377E1"/>
    <w:rsid w:val="004421E5"/>
    <w:rsid w:val="004465FF"/>
    <w:rsid w:val="00452CEA"/>
    <w:rsid w:val="00452D1F"/>
    <w:rsid w:val="004532C9"/>
    <w:rsid w:val="0045370A"/>
    <w:rsid w:val="004539BA"/>
    <w:rsid w:val="004552B7"/>
    <w:rsid w:val="004572A1"/>
    <w:rsid w:val="004608A9"/>
    <w:rsid w:val="00470692"/>
    <w:rsid w:val="00471EE0"/>
    <w:rsid w:val="00474BF7"/>
    <w:rsid w:val="00475F4E"/>
    <w:rsid w:val="00480DD1"/>
    <w:rsid w:val="00480DDE"/>
    <w:rsid w:val="00482DB4"/>
    <w:rsid w:val="00485A17"/>
    <w:rsid w:val="00486E13"/>
    <w:rsid w:val="00490D25"/>
    <w:rsid w:val="00491DE6"/>
    <w:rsid w:val="004959B4"/>
    <w:rsid w:val="00496545"/>
    <w:rsid w:val="004A0B25"/>
    <w:rsid w:val="004A168B"/>
    <w:rsid w:val="004C0F5D"/>
    <w:rsid w:val="004C67D5"/>
    <w:rsid w:val="004D1AE8"/>
    <w:rsid w:val="004D2138"/>
    <w:rsid w:val="004D56D5"/>
    <w:rsid w:val="004E1B36"/>
    <w:rsid w:val="004E2A8E"/>
    <w:rsid w:val="004E3E1B"/>
    <w:rsid w:val="004E453C"/>
    <w:rsid w:val="004E7460"/>
    <w:rsid w:val="004F0D3E"/>
    <w:rsid w:val="00502BD3"/>
    <w:rsid w:val="005043BF"/>
    <w:rsid w:val="00505725"/>
    <w:rsid w:val="0050572F"/>
    <w:rsid w:val="005067D0"/>
    <w:rsid w:val="005069B6"/>
    <w:rsid w:val="0052108B"/>
    <w:rsid w:val="00530033"/>
    <w:rsid w:val="005317AD"/>
    <w:rsid w:val="005336A6"/>
    <w:rsid w:val="005339AE"/>
    <w:rsid w:val="00535B7D"/>
    <w:rsid w:val="005404F8"/>
    <w:rsid w:val="00542BE3"/>
    <w:rsid w:val="00542EBA"/>
    <w:rsid w:val="005458E0"/>
    <w:rsid w:val="005464A8"/>
    <w:rsid w:val="00550025"/>
    <w:rsid w:val="00554BD9"/>
    <w:rsid w:val="00556884"/>
    <w:rsid w:val="00557D99"/>
    <w:rsid w:val="00560976"/>
    <w:rsid w:val="005618A7"/>
    <w:rsid w:val="00562811"/>
    <w:rsid w:val="005661DA"/>
    <w:rsid w:val="00567E15"/>
    <w:rsid w:val="005725C8"/>
    <w:rsid w:val="00574F0B"/>
    <w:rsid w:val="00575354"/>
    <w:rsid w:val="00575BC6"/>
    <w:rsid w:val="00580724"/>
    <w:rsid w:val="00580FEE"/>
    <w:rsid w:val="0058799B"/>
    <w:rsid w:val="00592E20"/>
    <w:rsid w:val="005959AA"/>
    <w:rsid w:val="005A2FB2"/>
    <w:rsid w:val="005A5050"/>
    <w:rsid w:val="005A6B1A"/>
    <w:rsid w:val="005A7E2D"/>
    <w:rsid w:val="005B0664"/>
    <w:rsid w:val="005B1347"/>
    <w:rsid w:val="005B1D6F"/>
    <w:rsid w:val="005B30C1"/>
    <w:rsid w:val="005B3AE0"/>
    <w:rsid w:val="005B7AED"/>
    <w:rsid w:val="005C0AB3"/>
    <w:rsid w:val="005C1459"/>
    <w:rsid w:val="005C1663"/>
    <w:rsid w:val="005C1D18"/>
    <w:rsid w:val="005D03B2"/>
    <w:rsid w:val="005D38B3"/>
    <w:rsid w:val="005D3F6B"/>
    <w:rsid w:val="005D412D"/>
    <w:rsid w:val="005D4220"/>
    <w:rsid w:val="005D51FD"/>
    <w:rsid w:val="005D5224"/>
    <w:rsid w:val="005D5AD2"/>
    <w:rsid w:val="005D64B4"/>
    <w:rsid w:val="005D73DA"/>
    <w:rsid w:val="005E3FD3"/>
    <w:rsid w:val="005E6CB6"/>
    <w:rsid w:val="005E7BD9"/>
    <w:rsid w:val="005F0EA6"/>
    <w:rsid w:val="005F17E5"/>
    <w:rsid w:val="005F2EDD"/>
    <w:rsid w:val="005F4341"/>
    <w:rsid w:val="005F6CD4"/>
    <w:rsid w:val="006002D3"/>
    <w:rsid w:val="00600E44"/>
    <w:rsid w:val="00603AC4"/>
    <w:rsid w:val="006047E1"/>
    <w:rsid w:val="00606D26"/>
    <w:rsid w:val="0061057D"/>
    <w:rsid w:val="0061315F"/>
    <w:rsid w:val="00613369"/>
    <w:rsid w:val="00614E26"/>
    <w:rsid w:val="006169FD"/>
    <w:rsid w:val="00620D6B"/>
    <w:rsid w:val="00623954"/>
    <w:rsid w:val="00626FFA"/>
    <w:rsid w:val="006332B2"/>
    <w:rsid w:val="00635B9C"/>
    <w:rsid w:val="006376F3"/>
    <w:rsid w:val="0064359F"/>
    <w:rsid w:val="006449B6"/>
    <w:rsid w:val="006453D5"/>
    <w:rsid w:val="006459D2"/>
    <w:rsid w:val="00647505"/>
    <w:rsid w:val="00650BC6"/>
    <w:rsid w:val="00654A34"/>
    <w:rsid w:val="006569B9"/>
    <w:rsid w:val="00657F0E"/>
    <w:rsid w:val="006607BB"/>
    <w:rsid w:val="00665741"/>
    <w:rsid w:val="0066688D"/>
    <w:rsid w:val="00667326"/>
    <w:rsid w:val="00667A78"/>
    <w:rsid w:val="00672995"/>
    <w:rsid w:val="00673BE1"/>
    <w:rsid w:val="00674F8D"/>
    <w:rsid w:val="006752EA"/>
    <w:rsid w:val="00681B65"/>
    <w:rsid w:val="00682A42"/>
    <w:rsid w:val="00683136"/>
    <w:rsid w:val="00684EE6"/>
    <w:rsid w:val="006914CB"/>
    <w:rsid w:val="00694B5B"/>
    <w:rsid w:val="006953D1"/>
    <w:rsid w:val="0069596F"/>
    <w:rsid w:val="006A0611"/>
    <w:rsid w:val="006A12F0"/>
    <w:rsid w:val="006A155D"/>
    <w:rsid w:val="006A2C44"/>
    <w:rsid w:val="006A37A0"/>
    <w:rsid w:val="006A50C3"/>
    <w:rsid w:val="006A5798"/>
    <w:rsid w:val="006A658C"/>
    <w:rsid w:val="006B07BA"/>
    <w:rsid w:val="006B0DFF"/>
    <w:rsid w:val="006B25C5"/>
    <w:rsid w:val="006B4CAA"/>
    <w:rsid w:val="006C1585"/>
    <w:rsid w:val="006C55A9"/>
    <w:rsid w:val="006C5B03"/>
    <w:rsid w:val="006D0157"/>
    <w:rsid w:val="006E0673"/>
    <w:rsid w:val="006E3ADF"/>
    <w:rsid w:val="006E7FD0"/>
    <w:rsid w:val="006F1DF6"/>
    <w:rsid w:val="006F2605"/>
    <w:rsid w:val="006F2F7F"/>
    <w:rsid w:val="006F6776"/>
    <w:rsid w:val="006F7EB9"/>
    <w:rsid w:val="00705C04"/>
    <w:rsid w:val="007078CD"/>
    <w:rsid w:val="007109EB"/>
    <w:rsid w:val="00710B1E"/>
    <w:rsid w:val="0071252C"/>
    <w:rsid w:val="00712FA2"/>
    <w:rsid w:val="00715A17"/>
    <w:rsid w:val="00717476"/>
    <w:rsid w:val="00717635"/>
    <w:rsid w:val="007178BA"/>
    <w:rsid w:val="00720593"/>
    <w:rsid w:val="007223BE"/>
    <w:rsid w:val="00722F53"/>
    <w:rsid w:val="00724249"/>
    <w:rsid w:val="0072538F"/>
    <w:rsid w:val="00733A08"/>
    <w:rsid w:val="00740D88"/>
    <w:rsid w:val="00741375"/>
    <w:rsid w:val="00741BA9"/>
    <w:rsid w:val="00741DE4"/>
    <w:rsid w:val="00746F61"/>
    <w:rsid w:val="00750668"/>
    <w:rsid w:val="00750E88"/>
    <w:rsid w:val="00751CEC"/>
    <w:rsid w:val="0075514F"/>
    <w:rsid w:val="00757A78"/>
    <w:rsid w:val="007634D4"/>
    <w:rsid w:val="007674F7"/>
    <w:rsid w:val="00774CF5"/>
    <w:rsid w:val="007772B3"/>
    <w:rsid w:val="00777A58"/>
    <w:rsid w:val="007804B4"/>
    <w:rsid w:val="0078263C"/>
    <w:rsid w:val="00783243"/>
    <w:rsid w:val="00792318"/>
    <w:rsid w:val="00792E47"/>
    <w:rsid w:val="007964FD"/>
    <w:rsid w:val="00796904"/>
    <w:rsid w:val="00797E5A"/>
    <w:rsid w:val="007A3F53"/>
    <w:rsid w:val="007A59D8"/>
    <w:rsid w:val="007A7084"/>
    <w:rsid w:val="007B19A7"/>
    <w:rsid w:val="007B4675"/>
    <w:rsid w:val="007B72DC"/>
    <w:rsid w:val="007C7BEA"/>
    <w:rsid w:val="007D0B44"/>
    <w:rsid w:val="007D3808"/>
    <w:rsid w:val="007D4EA4"/>
    <w:rsid w:val="007D7767"/>
    <w:rsid w:val="007E0780"/>
    <w:rsid w:val="007E2B4A"/>
    <w:rsid w:val="007F0F36"/>
    <w:rsid w:val="007F1AA5"/>
    <w:rsid w:val="007F60FD"/>
    <w:rsid w:val="00801793"/>
    <w:rsid w:val="00807373"/>
    <w:rsid w:val="00807A10"/>
    <w:rsid w:val="00810CA8"/>
    <w:rsid w:val="008131A4"/>
    <w:rsid w:val="008142B4"/>
    <w:rsid w:val="008156A2"/>
    <w:rsid w:val="0081728F"/>
    <w:rsid w:val="00820F2F"/>
    <w:rsid w:val="0082142B"/>
    <w:rsid w:val="00822BF7"/>
    <w:rsid w:val="00830CEA"/>
    <w:rsid w:val="00834B1F"/>
    <w:rsid w:val="00835778"/>
    <w:rsid w:val="00843203"/>
    <w:rsid w:val="00844529"/>
    <w:rsid w:val="00846BB3"/>
    <w:rsid w:val="00846FE3"/>
    <w:rsid w:val="00847891"/>
    <w:rsid w:val="0085005B"/>
    <w:rsid w:val="008501D8"/>
    <w:rsid w:val="008510FB"/>
    <w:rsid w:val="00857A22"/>
    <w:rsid w:val="00861D47"/>
    <w:rsid w:val="008625D6"/>
    <w:rsid w:val="008666E5"/>
    <w:rsid w:val="00866D45"/>
    <w:rsid w:val="00866ED1"/>
    <w:rsid w:val="0087589E"/>
    <w:rsid w:val="008836C5"/>
    <w:rsid w:val="00884924"/>
    <w:rsid w:val="008865C7"/>
    <w:rsid w:val="00890147"/>
    <w:rsid w:val="00891FD7"/>
    <w:rsid w:val="0089645B"/>
    <w:rsid w:val="00897869"/>
    <w:rsid w:val="008A1E2E"/>
    <w:rsid w:val="008A2858"/>
    <w:rsid w:val="008A4064"/>
    <w:rsid w:val="008A56CC"/>
    <w:rsid w:val="008A7FD1"/>
    <w:rsid w:val="008C2178"/>
    <w:rsid w:val="008C5D5D"/>
    <w:rsid w:val="008C6959"/>
    <w:rsid w:val="008D2C66"/>
    <w:rsid w:val="008D430C"/>
    <w:rsid w:val="008D4AF7"/>
    <w:rsid w:val="008D53B8"/>
    <w:rsid w:val="008D7540"/>
    <w:rsid w:val="008E1F4B"/>
    <w:rsid w:val="008E229C"/>
    <w:rsid w:val="008E4E8D"/>
    <w:rsid w:val="008E6C25"/>
    <w:rsid w:val="008F6641"/>
    <w:rsid w:val="0090018A"/>
    <w:rsid w:val="009049DE"/>
    <w:rsid w:val="009053EB"/>
    <w:rsid w:val="0090729F"/>
    <w:rsid w:val="00907828"/>
    <w:rsid w:val="00911AD9"/>
    <w:rsid w:val="009124D7"/>
    <w:rsid w:val="009138F6"/>
    <w:rsid w:val="009143C0"/>
    <w:rsid w:val="0091546E"/>
    <w:rsid w:val="00917409"/>
    <w:rsid w:val="009237B2"/>
    <w:rsid w:val="00924BE0"/>
    <w:rsid w:val="00926349"/>
    <w:rsid w:val="0092763C"/>
    <w:rsid w:val="00930B68"/>
    <w:rsid w:val="00930CFF"/>
    <w:rsid w:val="00931793"/>
    <w:rsid w:val="00936FEE"/>
    <w:rsid w:val="0093732D"/>
    <w:rsid w:val="00937EC2"/>
    <w:rsid w:val="0094282E"/>
    <w:rsid w:val="00946D5E"/>
    <w:rsid w:val="0094714D"/>
    <w:rsid w:val="00953ABB"/>
    <w:rsid w:val="00962C92"/>
    <w:rsid w:val="0097143A"/>
    <w:rsid w:val="00971EB1"/>
    <w:rsid w:val="00974A6D"/>
    <w:rsid w:val="00975BB5"/>
    <w:rsid w:val="0098006E"/>
    <w:rsid w:val="0098117D"/>
    <w:rsid w:val="00982780"/>
    <w:rsid w:val="009863EC"/>
    <w:rsid w:val="00986A3A"/>
    <w:rsid w:val="009964B5"/>
    <w:rsid w:val="009A4727"/>
    <w:rsid w:val="009A7DC6"/>
    <w:rsid w:val="009B4773"/>
    <w:rsid w:val="009B7607"/>
    <w:rsid w:val="009C28C5"/>
    <w:rsid w:val="009C52C2"/>
    <w:rsid w:val="009C57AB"/>
    <w:rsid w:val="009C6B07"/>
    <w:rsid w:val="009D26FC"/>
    <w:rsid w:val="009D3628"/>
    <w:rsid w:val="009D4EBC"/>
    <w:rsid w:val="009D595D"/>
    <w:rsid w:val="009E3279"/>
    <w:rsid w:val="009E4834"/>
    <w:rsid w:val="009F0C15"/>
    <w:rsid w:val="009F53AA"/>
    <w:rsid w:val="009F5636"/>
    <w:rsid w:val="009F66FD"/>
    <w:rsid w:val="009F7E84"/>
    <w:rsid w:val="00A01D93"/>
    <w:rsid w:val="00A02325"/>
    <w:rsid w:val="00A03853"/>
    <w:rsid w:val="00A03B87"/>
    <w:rsid w:val="00A0551D"/>
    <w:rsid w:val="00A111E1"/>
    <w:rsid w:val="00A1472A"/>
    <w:rsid w:val="00A15F85"/>
    <w:rsid w:val="00A16470"/>
    <w:rsid w:val="00A251C4"/>
    <w:rsid w:val="00A26E36"/>
    <w:rsid w:val="00A30887"/>
    <w:rsid w:val="00A322FC"/>
    <w:rsid w:val="00A32F7F"/>
    <w:rsid w:val="00A340FA"/>
    <w:rsid w:val="00A3533D"/>
    <w:rsid w:val="00A362E2"/>
    <w:rsid w:val="00A372AC"/>
    <w:rsid w:val="00A415FE"/>
    <w:rsid w:val="00A426D1"/>
    <w:rsid w:val="00A4378D"/>
    <w:rsid w:val="00A43B18"/>
    <w:rsid w:val="00A5049E"/>
    <w:rsid w:val="00A50518"/>
    <w:rsid w:val="00A51CB7"/>
    <w:rsid w:val="00A536B9"/>
    <w:rsid w:val="00A550E6"/>
    <w:rsid w:val="00A551A7"/>
    <w:rsid w:val="00A55CCB"/>
    <w:rsid w:val="00A623CD"/>
    <w:rsid w:val="00A634F6"/>
    <w:rsid w:val="00A6437C"/>
    <w:rsid w:val="00A66D03"/>
    <w:rsid w:val="00A71DE9"/>
    <w:rsid w:val="00A74E04"/>
    <w:rsid w:val="00A77DBB"/>
    <w:rsid w:val="00A84448"/>
    <w:rsid w:val="00A85779"/>
    <w:rsid w:val="00A8701E"/>
    <w:rsid w:val="00A91623"/>
    <w:rsid w:val="00A920BE"/>
    <w:rsid w:val="00A965C2"/>
    <w:rsid w:val="00A97065"/>
    <w:rsid w:val="00AA0F72"/>
    <w:rsid w:val="00AA1C60"/>
    <w:rsid w:val="00AA4C0B"/>
    <w:rsid w:val="00AA519B"/>
    <w:rsid w:val="00AA59B0"/>
    <w:rsid w:val="00AB1EAD"/>
    <w:rsid w:val="00AB2687"/>
    <w:rsid w:val="00AB6012"/>
    <w:rsid w:val="00AC0B9E"/>
    <w:rsid w:val="00AC0DB2"/>
    <w:rsid w:val="00AC14DF"/>
    <w:rsid w:val="00AC3AA4"/>
    <w:rsid w:val="00AC4557"/>
    <w:rsid w:val="00AD0A7A"/>
    <w:rsid w:val="00AD10CE"/>
    <w:rsid w:val="00AD12F3"/>
    <w:rsid w:val="00AD30DE"/>
    <w:rsid w:val="00AD4C84"/>
    <w:rsid w:val="00AD57CE"/>
    <w:rsid w:val="00AD5D6B"/>
    <w:rsid w:val="00AE2213"/>
    <w:rsid w:val="00AE24CA"/>
    <w:rsid w:val="00AF1066"/>
    <w:rsid w:val="00AF1609"/>
    <w:rsid w:val="00AF185D"/>
    <w:rsid w:val="00AF6A9A"/>
    <w:rsid w:val="00AF79E7"/>
    <w:rsid w:val="00B009AC"/>
    <w:rsid w:val="00B01AD0"/>
    <w:rsid w:val="00B027BE"/>
    <w:rsid w:val="00B03053"/>
    <w:rsid w:val="00B0368B"/>
    <w:rsid w:val="00B065C7"/>
    <w:rsid w:val="00B0701A"/>
    <w:rsid w:val="00B1227C"/>
    <w:rsid w:val="00B127FE"/>
    <w:rsid w:val="00B17260"/>
    <w:rsid w:val="00B224FE"/>
    <w:rsid w:val="00B25D9A"/>
    <w:rsid w:val="00B32CC9"/>
    <w:rsid w:val="00B364E1"/>
    <w:rsid w:val="00B377A8"/>
    <w:rsid w:val="00B45295"/>
    <w:rsid w:val="00B50E98"/>
    <w:rsid w:val="00B53821"/>
    <w:rsid w:val="00B56651"/>
    <w:rsid w:val="00B60151"/>
    <w:rsid w:val="00B6138E"/>
    <w:rsid w:val="00B62C9A"/>
    <w:rsid w:val="00B65DE4"/>
    <w:rsid w:val="00B70DD2"/>
    <w:rsid w:val="00B7707E"/>
    <w:rsid w:val="00B84821"/>
    <w:rsid w:val="00B85831"/>
    <w:rsid w:val="00B85E1A"/>
    <w:rsid w:val="00B87D70"/>
    <w:rsid w:val="00B9352B"/>
    <w:rsid w:val="00B9539C"/>
    <w:rsid w:val="00B975B6"/>
    <w:rsid w:val="00BA0725"/>
    <w:rsid w:val="00BA0730"/>
    <w:rsid w:val="00BA1573"/>
    <w:rsid w:val="00BA31F2"/>
    <w:rsid w:val="00BA3D76"/>
    <w:rsid w:val="00BA43B8"/>
    <w:rsid w:val="00BA5F90"/>
    <w:rsid w:val="00BB087B"/>
    <w:rsid w:val="00BB1669"/>
    <w:rsid w:val="00BB36C6"/>
    <w:rsid w:val="00BB5910"/>
    <w:rsid w:val="00BB6662"/>
    <w:rsid w:val="00BB75AE"/>
    <w:rsid w:val="00BB79C8"/>
    <w:rsid w:val="00BC39C2"/>
    <w:rsid w:val="00BC4BD1"/>
    <w:rsid w:val="00BC6193"/>
    <w:rsid w:val="00BC6C87"/>
    <w:rsid w:val="00BC7D81"/>
    <w:rsid w:val="00BD380B"/>
    <w:rsid w:val="00BD3A57"/>
    <w:rsid w:val="00BE1A11"/>
    <w:rsid w:val="00BE2D33"/>
    <w:rsid w:val="00BE403F"/>
    <w:rsid w:val="00BF01F8"/>
    <w:rsid w:val="00BF18E6"/>
    <w:rsid w:val="00BF788E"/>
    <w:rsid w:val="00C02EB1"/>
    <w:rsid w:val="00C07406"/>
    <w:rsid w:val="00C07592"/>
    <w:rsid w:val="00C10F17"/>
    <w:rsid w:val="00C1278A"/>
    <w:rsid w:val="00C12B86"/>
    <w:rsid w:val="00C14933"/>
    <w:rsid w:val="00C14F5E"/>
    <w:rsid w:val="00C17F5D"/>
    <w:rsid w:val="00C201E7"/>
    <w:rsid w:val="00C25432"/>
    <w:rsid w:val="00C264DC"/>
    <w:rsid w:val="00C32FBE"/>
    <w:rsid w:val="00C33A88"/>
    <w:rsid w:val="00C3558C"/>
    <w:rsid w:val="00C40026"/>
    <w:rsid w:val="00C440F6"/>
    <w:rsid w:val="00C4476B"/>
    <w:rsid w:val="00C44C66"/>
    <w:rsid w:val="00C45A7B"/>
    <w:rsid w:val="00C50298"/>
    <w:rsid w:val="00C511A4"/>
    <w:rsid w:val="00C53DEC"/>
    <w:rsid w:val="00C57F6C"/>
    <w:rsid w:val="00C6033C"/>
    <w:rsid w:val="00C63340"/>
    <w:rsid w:val="00C72717"/>
    <w:rsid w:val="00C73094"/>
    <w:rsid w:val="00C7487D"/>
    <w:rsid w:val="00C75D8E"/>
    <w:rsid w:val="00C81881"/>
    <w:rsid w:val="00C844E7"/>
    <w:rsid w:val="00C852B7"/>
    <w:rsid w:val="00C85C10"/>
    <w:rsid w:val="00C86AFD"/>
    <w:rsid w:val="00C87C99"/>
    <w:rsid w:val="00C909AC"/>
    <w:rsid w:val="00C93B1F"/>
    <w:rsid w:val="00C9691D"/>
    <w:rsid w:val="00C96AFB"/>
    <w:rsid w:val="00CA1894"/>
    <w:rsid w:val="00CA2D18"/>
    <w:rsid w:val="00CA35A5"/>
    <w:rsid w:val="00CA6586"/>
    <w:rsid w:val="00CA659D"/>
    <w:rsid w:val="00CB0664"/>
    <w:rsid w:val="00CB3AA4"/>
    <w:rsid w:val="00CB47BB"/>
    <w:rsid w:val="00CB48FD"/>
    <w:rsid w:val="00CB66A0"/>
    <w:rsid w:val="00CB7C10"/>
    <w:rsid w:val="00CB7C60"/>
    <w:rsid w:val="00CC1798"/>
    <w:rsid w:val="00CC193C"/>
    <w:rsid w:val="00CC21AD"/>
    <w:rsid w:val="00CC2754"/>
    <w:rsid w:val="00CC4257"/>
    <w:rsid w:val="00CC5160"/>
    <w:rsid w:val="00CD5BA0"/>
    <w:rsid w:val="00CD669A"/>
    <w:rsid w:val="00CE0B32"/>
    <w:rsid w:val="00CE30C3"/>
    <w:rsid w:val="00CE4C0F"/>
    <w:rsid w:val="00CE5C18"/>
    <w:rsid w:val="00CE6F53"/>
    <w:rsid w:val="00CF1B9E"/>
    <w:rsid w:val="00CF2EB3"/>
    <w:rsid w:val="00CF53F6"/>
    <w:rsid w:val="00D000B1"/>
    <w:rsid w:val="00D07A84"/>
    <w:rsid w:val="00D10274"/>
    <w:rsid w:val="00D102EB"/>
    <w:rsid w:val="00D115F4"/>
    <w:rsid w:val="00D169CB"/>
    <w:rsid w:val="00D17786"/>
    <w:rsid w:val="00D17B65"/>
    <w:rsid w:val="00D20D71"/>
    <w:rsid w:val="00D21F25"/>
    <w:rsid w:val="00D22576"/>
    <w:rsid w:val="00D27E09"/>
    <w:rsid w:val="00D3083F"/>
    <w:rsid w:val="00D30EC7"/>
    <w:rsid w:val="00D316E0"/>
    <w:rsid w:val="00D344FE"/>
    <w:rsid w:val="00D35469"/>
    <w:rsid w:val="00D36727"/>
    <w:rsid w:val="00D3688C"/>
    <w:rsid w:val="00D403D6"/>
    <w:rsid w:val="00D41474"/>
    <w:rsid w:val="00D41A96"/>
    <w:rsid w:val="00D44FF8"/>
    <w:rsid w:val="00D50FBA"/>
    <w:rsid w:val="00D5120E"/>
    <w:rsid w:val="00D55316"/>
    <w:rsid w:val="00D61140"/>
    <w:rsid w:val="00D63030"/>
    <w:rsid w:val="00D63F16"/>
    <w:rsid w:val="00D6778D"/>
    <w:rsid w:val="00D6785A"/>
    <w:rsid w:val="00D72FAD"/>
    <w:rsid w:val="00D753D2"/>
    <w:rsid w:val="00D815D3"/>
    <w:rsid w:val="00D830D2"/>
    <w:rsid w:val="00D83D6A"/>
    <w:rsid w:val="00D869A0"/>
    <w:rsid w:val="00D9000E"/>
    <w:rsid w:val="00D9709B"/>
    <w:rsid w:val="00DA4C37"/>
    <w:rsid w:val="00DA6038"/>
    <w:rsid w:val="00DB051C"/>
    <w:rsid w:val="00DB0979"/>
    <w:rsid w:val="00DB0D8E"/>
    <w:rsid w:val="00DB1492"/>
    <w:rsid w:val="00DB1BA4"/>
    <w:rsid w:val="00DB3F4F"/>
    <w:rsid w:val="00DB6946"/>
    <w:rsid w:val="00DC197A"/>
    <w:rsid w:val="00DC2513"/>
    <w:rsid w:val="00DC2DF3"/>
    <w:rsid w:val="00DC5A8D"/>
    <w:rsid w:val="00DC70CC"/>
    <w:rsid w:val="00DC734D"/>
    <w:rsid w:val="00DD0161"/>
    <w:rsid w:val="00DD4F49"/>
    <w:rsid w:val="00DD7C1B"/>
    <w:rsid w:val="00DE3210"/>
    <w:rsid w:val="00DE3B21"/>
    <w:rsid w:val="00DE5DCB"/>
    <w:rsid w:val="00DE6C31"/>
    <w:rsid w:val="00DE77DA"/>
    <w:rsid w:val="00DE7AF3"/>
    <w:rsid w:val="00DF0F9A"/>
    <w:rsid w:val="00DF2262"/>
    <w:rsid w:val="00DF37BC"/>
    <w:rsid w:val="00DF630B"/>
    <w:rsid w:val="00E04FB2"/>
    <w:rsid w:val="00E05269"/>
    <w:rsid w:val="00E075E8"/>
    <w:rsid w:val="00E07AFA"/>
    <w:rsid w:val="00E12660"/>
    <w:rsid w:val="00E12ABF"/>
    <w:rsid w:val="00E12CA0"/>
    <w:rsid w:val="00E168A1"/>
    <w:rsid w:val="00E17554"/>
    <w:rsid w:val="00E17DA9"/>
    <w:rsid w:val="00E20DDE"/>
    <w:rsid w:val="00E22E94"/>
    <w:rsid w:val="00E26FCE"/>
    <w:rsid w:val="00E335E9"/>
    <w:rsid w:val="00E3366E"/>
    <w:rsid w:val="00E33E29"/>
    <w:rsid w:val="00E345B0"/>
    <w:rsid w:val="00E37053"/>
    <w:rsid w:val="00E47434"/>
    <w:rsid w:val="00E52B13"/>
    <w:rsid w:val="00E532D0"/>
    <w:rsid w:val="00E54545"/>
    <w:rsid w:val="00E547B6"/>
    <w:rsid w:val="00E62B66"/>
    <w:rsid w:val="00E63743"/>
    <w:rsid w:val="00E6545C"/>
    <w:rsid w:val="00E65790"/>
    <w:rsid w:val="00E65DBB"/>
    <w:rsid w:val="00E66E2F"/>
    <w:rsid w:val="00E71069"/>
    <w:rsid w:val="00E71901"/>
    <w:rsid w:val="00E75D9F"/>
    <w:rsid w:val="00E830B8"/>
    <w:rsid w:val="00E856E5"/>
    <w:rsid w:val="00E86E2F"/>
    <w:rsid w:val="00E9439F"/>
    <w:rsid w:val="00E95680"/>
    <w:rsid w:val="00E96A31"/>
    <w:rsid w:val="00E9715D"/>
    <w:rsid w:val="00EA1931"/>
    <w:rsid w:val="00EA2A5B"/>
    <w:rsid w:val="00EA6041"/>
    <w:rsid w:val="00EB2659"/>
    <w:rsid w:val="00EB2677"/>
    <w:rsid w:val="00EB4E7B"/>
    <w:rsid w:val="00EB5602"/>
    <w:rsid w:val="00EC1EEA"/>
    <w:rsid w:val="00EC42BB"/>
    <w:rsid w:val="00EE20FF"/>
    <w:rsid w:val="00EE2322"/>
    <w:rsid w:val="00EE664D"/>
    <w:rsid w:val="00EE6E77"/>
    <w:rsid w:val="00EF081D"/>
    <w:rsid w:val="00EF41E4"/>
    <w:rsid w:val="00F04198"/>
    <w:rsid w:val="00F07739"/>
    <w:rsid w:val="00F07763"/>
    <w:rsid w:val="00F14550"/>
    <w:rsid w:val="00F15345"/>
    <w:rsid w:val="00F214FA"/>
    <w:rsid w:val="00F223FE"/>
    <w:rsid w:val="00F23EEC"/>
    <w:rsid w:val="00F25757"/>
    <w:rsid w:val="00F25E1A"/>
    <w:rsid w:val="00F31510"/>
    <w:rsid w:val="00F34CDA"/>
    <w:rsid w:val="00F35BFF"/>
    <w:rsid w:val="00F41438"/>
    <w:rsid w:val="00F4176B"/>
    <w:rsid w:val="00F41A7D"/>
    <w:rsid w:val="00F43981"/>
    <w:rsid w:val="00F45654"/>
    <w:rsid w:val="00F4781A"/>
    <w:rsid w:val="00F50F71"/>
    <w:rsid w:val="00F51AE6"/>
    <w:rsid w:val="00F604E6"/>
    <w:rsid w:val="00F61664"/>
    <w:rsid w:val="00F65F3F"/>
    <w:rsid w:val="00F66E4D"/>
    <w:rsid w:val="00F674E2"/>
    <w:rsid w:val="00F67B34"/>
    <w:rsid w:val="00F74C75"/>
    <w:rsid w:val="00F838AE"/>
    <w:rsid w:val="00F840F6"/>
    <w:rsid w:val="00F852F6"/>
    <w:rsid w:val="00F8579A"/>
    <w:rsid w:val="00F876AD"/>
    <w:rsid w:val="00F90767"/>
    <w:rsid w:val="00F90BBC"/>
    <w:rsid w:val="00F91E52"/>
    <w:rsid w:val="00FA34C0"/>
    <w:rsid w:val="00FA480F"/>
    <w:rsid w:val="00FA54B6"/>
    <w:rsid w:val="00FA57EB"/>
    <w:rsid w:val="00FA5D42"/>
    <w:rsid w:val="00FA7251"/>
    <w:rsid w:val="00FB05E2"/>
    <w:rsid w:val="00FB10CB"/>
    <w:rsid w:val="00FB2D9E"/>
    <w:rsid w:val="00FB3A68"/>
    <w:rsid w:val="00FC230D"/>
    <w:rsid w:val="00FC273E"/>
    <w:rsid w:val="00FC4996"/>
    <w:rsid w:val="00FC53FC"/>
    <w:rsid w:val="00FD0F55"/>
    <w:rsid w:val="00FD18EF"/>
    <w:rsid w:val="00FD4E15"/>
    <w:rsid w:val="00FD6B89"/>
    <w:rsid w:val="00FD72B8"/>
    <w:rsid w:val="00FD7450"/>
    <w:rsid w:val="00FD7B64"/>
    <w:rsid w:val="00FD7D9F"/>
    <w:rsid w:val="00FE0E5E"/>
    <w:rsid w:val="00FE14EC"/>
    <w:rsid w:val="00FE44A6"/>
    <w:rsid w:val="00FE7198"/>
    <w:rsid w:val="00FF0820"/>
    <w:rsid w:val="00FF7917"/>
    <w:rsid w:val="00FF7A0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16"/>
    <w:rPr>
      <w:color w:val="0000FF" w:themeColor="hyperlink"/>
      <w:u w:val="single"/>
    </w:rPr>
  </w:style>
  <w:style w:type="paragraph" w:styleId="ListParagraph">
    <w:name w:val="List Paragraph"/>
    <w:basedOn w:val="Normal"/>
    <w:uiPriority w:val="34"/>
    <w:qFormat/>
    <w:rsid w:val="005339AE"/>
    <w:pPr>
      <w:ind w:left="720"/>
      <w:contextualSpacing/>
    </w:pPr>
  </w:style>
  <w:style w:type="character" w:styleId="CommentReference">
    <w:name w:val="annotation reference"/>
    <w:basedOn w:val="DefaultParagraphFont"/>
    <w:uiPriority w:val="99"/>
    <w:semiHidden/>
    <w:unhideWhenUsed/>
    <w:rsid w:val="00AA0F72"/>
    <w:rPr>
      <w:sz w:val="16"/>
      <w:szCs w:val="16"/>
    </w:rPr>
  </w:style>
  <w:style w:type="paragraph" w:styleId="CommentText">
    <w:name w:val="annotation text"/>
    <w:basedOn w:val="Normal"/>
    <w:link w:val="CommentTextChar"/>
    <w:uiPriority w:val="99"/>
    <w:semiHidden/>
    <w:unhideWhenUsed/>
    <w:rsid w:val="00AA0F72"/>
    <w:pPr>
      <w:spacing w:line="240" w:lineRule="auto"/>
    </w:pPr>
    <w:rPr>
      <w:sz w:val="20"/>
      <w:szCs w:val="20"/>
    </w:rPr>
  </w:style>
  <w:style w:type="character" w:customStyle="1" w:styleId="CommentTextChar">
    <w:name w:val="Comment Text Char"/>
    <w:basedOn w:val="DefaultParagraphFont"/>
    <w:link w:val="CommentText"/>
    <w:uiPriority w:val="99"/>
    <w:semiHidden/>
    <w:rsid w:val="00AA0F72"/>
    <w:rPr>
      <w:sz w:val="20"/>
      <w:szCs w:val="20"/>
    </w:rPr>
  </w:style>
  <w:style w:type="paragraph" w:styleId="CommentSubject">
    <w:name w:val="annotation subject"/>
    <w:basedOn w:val="CommentText"/>
    <w:next w:val="CommentText"/>
    <w:link w:val="CommentSubjectChar"/>
    <w:uiPriority w:val="99"/>
    <w:semiHidden/>
    <w:unhideWhenUsed/>
    <w:rsid w:val="00AA0F72"/>
    <w:rPr>
      <w:b/>
      <w:bCs/>
    </w:rPr>
  </w:style>
  <w:style w:type="character" w:customStyle="1" w:styleId="CommentSubjectChar">
    <w:name w:val="Comment Subject Char"/>
    <w:basedOn w:val="CommentTextChar"/>
    <w:link w:val="CommentSubject"/>
    <w:uiPriority w:val="99"/>
    <w:semiHidden/>
    <w:rsid w:val="00AA0F72"/>
    <w:rPr>
      <w:b/>
      <w:bCs/>
      <w:sz w:val="20"/>
      <w:szCs w:val="20"/>
    </w:rPr>
  </w:style>
  <w:style w:type="paragraph" w:styleId="BalloonText">
    <w:name w:val="Balloon Text"/>
    <w:basedOn w:val="Normal"/>
    <w:link w:val="BalloonTextChar"/>
    <w:uiPriority w:val="99"/>
    <w:semiHidden/>
    <w:unhideWhenUsed/>
    <w:rsid w:val="00AA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16"/>
    <w:rPr>
      <w:color w:val="0000FF" w:themeColor="hyperlink"/>
      <w:u w:val="single"/>
    </w:rPr>
  </w:style>
  <w:style w:type="paragraph" w:styleId="ListParagraph">
    <w:name w:val="List Paragraph"/>
    <w:basedOn w:val="Normal"/>
    <w:uiPriority w:val="34"/>
    <w:qFormat/>
    <w:rsid w:val="005339AE"/>
    <w:pPr>
      <w:ind w:left="720"/>
      <w:contextualSpacing/>
    </w:pPr>
  </w:style>
  <w:style w:type="character" w:styleId="CommentReference">
    <w:name w:val="annotation reference"/>
    <w:basedOn w:val="DefaultParagraphFont"/>
    <w:uiPriority w:val="99"/>
    <w:semiHidden/>
    <w:unhideWhenUsed/>
    <w:rsid w:val="00AA0F72"/>
    <w:rPr>
      <w:sz w:val="16"/>
      <w:szCs w:val="16"/>
    </w:rPr>
  </w:style>
  <w:style w:type="paragraph" w:styleId="CommentText">
    <w:name w:val="annotation text"/>
    <w:basedOn w:val="Normal"/>
    <w:link w:val="CommentTextChar"/>
    <w:uiPriority w:val="99"/>
    <w:semiHidden/>
    <w:unhideWhenUsed/>
    <w:rsid w:val="00AA0F72"/>
    <w:pPr>
      <w:spacing w:line="240" w:lineRule="auto"/>
    </w:pPr>
    <w:rPr>
      <w:sz w:val="20"/>
      <w:szCs w:val="20"/>
    </w:rPr>
  </w:style>
  <w:style w:type="character" w:customStyle="1" w:styleId="CommentTextChar">
    <w:name w:val="Comment Text Char"/>
    <w:basedOn w:val="DefaultParagraphFont"/>
    <w:link w:val="CommentText"/>
    <w:uiPriority w:val="99"/>
    <w:semiHidden/>
    <w:rsid w:val="00AA0F72"/>
    <w:rPr>
      <w:sz w:val="20"/>
      <w:szCs w:val="20"/>
    </w:rPr>
  </w:style>
  <w:style w:type="paragraph" w:styleId="CommentSubject">
    <w:name w:val="annotation subject"/>
    <w:basedOn w:val="CommentText"/>
    <w:next w:val="CommentText"/>
    <w:link w:val="CommentSubjectChar"/>
    <w:uiPriority w:val="99"/>
    <w:semiHidden/>
    <w:unhideWhenUsed/>
    <w:rsid w:val="00AA0F72"/>
    <w:rPr>
      <w:b/>
      <w:bCs/>
    </w:rPr>
  </w:style>
  <w:style w:type="character" w:customStyle="1" w:styleId="CommentSubjectChar">
    <w:name w:val="Comment Subject Char"/>
    <w:basedOn w:val="CommentTextChar"/>
    <w:link w:val="CommentSubject"/>
    <w:uiPriority w:val="99"/>
    <w:semiHidden/>
    <w:rsid w:val="00AA0F72"/>
    <w:rPr>
      <w:b/>
      <w:bCs/>
      <w:sz w:val="20"/>
      <w:szCs w:val="20"/>
    </w:rPr>
  </w:style>
  <w:style w:type="paragraph" w:styleId="BalloonText">
    <w:name w:val="Balloon Text"/>
    <w:basedOn w:val="Normal"/>
    <w:link w:val="BalloonTextChar"/>
    <w:uiPriority w:val="99"/>
    <w:semiHidden/>
    <w:unhideWhenUsed/>
    <w:rsid w:val="00AA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f.gov.cy/mof/cystat/statistics.nsf/labour_31main_en/labour_31main_en?OpenForm&amp;sub=1&amp;sel=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Administrator</cp:lastModifiedBy>
  <cp:revision>5</cp:revision>
  <dcterms:created xsi:type="dcterms:W3CDTF">2013-11-13T09:32:00Z</dcterms:created>
  <dcterms:modified xsi:type="dcterms:W3CDTF">2013-11-13T09:35:00Z</dcterms:modified>
</cp:coreProperties>
</file>