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20" w:type="dxa"/>
        <w:tblCellSpacing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36B96" w:rsidRPr="00936B96">
        <w:trPr>
          <w:trHeight w:val="300"/>
          <w:tblCellSpacing w:w="120" w:type="dxa"/>
        </w:trPr>
        <w:tc>
          <w:tcPr>
            <w:tcW w:w="6720" w:type="dxa"/>
            <w:shd w:val="clear" w:color="auto" w:fill="FFFFFF"/>
            <w:vAlign w:val="bottom"/>
            <w:hideMark/>
          </w:tcPr>
          <w:p w:rsidR="00936B96" w:rsidRPr="00936B96" w:rsidRDefault="00936B96" w:rsidP="00936B96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</w:pPr>
            <w:r w:rsidRPr="00936B9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EUNEC </w:t>
            </w:r>
            <w:proofErr w:type="spellStart"/>
            <w:r w:rsidRPr="00936B9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newsletter</w:t>
            </w:r>
            <w:proofErr w:type="spellEnd"/>
            <w:r w:rsidRPr="00936B9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November 2016</w:t>
            </w:r>
          </w:p>
        </w:tc>
      </w:tr>
      <w:tr w:rsidR="00936B96" w:rsidRPr="00936B96">
        <w:trPr>
          <w:tblCellSpacing w:w="120" w:type="dxa"/>
        </w:trPr>
        <w:tc>
          <w:tcPr>
            <w:tcW w:w="6720" w:type="dxa"/>
            <w:shd w:val="clear" w:color="auto" w:fill="FFF1EB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</w:tblGrid>
            <w:tr w:rsidR="00936B96" w:rsidRPr="00936B96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36B96" w:rsidRPr="00936B96" w:rsidRDefault="00936B96" w:rsidP="00936B96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936B96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–  </w:t>
                  </w:r>
                  <w:hyperlink r:id="rId4" w:anchor="toc_item_0" w:history="1">
                    <w:r w:rsidRPr="00936B96">
                      <w:rPr>
                        <w:rFonts w:ascii="Tahoma" w:eastAsia="Times New Roman" w:hAnsi="Tahoma" w:cs="Tahoma"/>
                        <w:color w:val="FF6600"/>
                        <w:sz w:val="21"/>
                        <w:szCs w:val="21"/>
                        <w:lang w:eastAsia="nl-BE"/>
                      </w:rPr>
                      <w:t xml:space="preserve">EUNEC at </w:t>
                    </w:r>
                    <w:proofErr w:type="spellStart"/>
                    <w:r w:rsidRPr="00936B96">
                      <w:rPr>
                        <w:rFonts w:ascii="Tahoma" w:eastAsia="Times New Roman" w:hAnsi="Tahoma" w:cs="Tahoma"/>
                        <w:color w:val="FF6600"/>
                        <w:sz w:val="21"/>
                        <w:szCs w:val="21"/>
                        <w:lang w:eastAsia="nl-BE"/>
                      </w:rPr>
                      <w:t>work</w:t>
                    </w:r>
                    <w:proofErr w:type="spellEnd"/>
                  </w:hyperlink>
                </w:p>
              </w:tc>
            </w:tr>
            <w:tr w:rsidR="00936B96" w:rsidRPr="00936B96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36B96" w:rsidRPr="00936B96" w:rsidRDefault="00936B96" w:rsidP="00936B96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936B96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–  </w:t>
                  </w:r>
                  <w:hyperlink r:id="rId5" w:anchor="toc_item_1" w:history="1">
                    <w:r w:rsidRPr="00936B96">
                      <w:rPr>
                        <w:rFonts w:ascii="Tahoma" w:eastAsia="Times New Roman" w:hAnsi="Tahoma" w:cs="Tahoma"/>
                        <w:color w:val="FF6600"/>
                        <w:sz w:val="21"/>
                        <w:szCs w:val="21"/>
                        <w:lang w:eastAsia="nl-BE"/>
                      </w:rPr>
                      <w:t xml:space="preserve">European </w:t>
                    </w:r>
                    <w:proofErr w:type="spellStart"/>
                    <w:r w:rsidRPr="00936B96">
                      <w:rPr>
                        <w:rFonts w:ascii="Tahoma" w:eastAsia="Times New Roman" w:hAnsi="Tahoma" w:cs="Tahoma"/>
                        <w:color w:val="FF6600"/>
                        <w:sz w:val="21"/>
                        <w:szCs w:val="21"/>
                        <w:lang w:eastAsia="nl-BE"/>
                      </w:rPr>
                      <w:t>heartbeat</w:t>
                    </w:r>
                    <w:proofErr w:type="spellEnd"/>
                  </w:hyperlink>
                </w:p>
              </w:tc>
            </w:tr>
            <w:tr w:rsidR="00936B96" w:rsidRPr="00936B96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36B96" w:rsidRPr="00936B96" w:rsidRDefault="00936B96" w:rsidP="00936B96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936B96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–  </w:t>
                  </w:r>
                  <w:hyperlink r:id="rId6" w:anchor="toc_item_2" w:history="1">
                    <w:r w:rsidRPr="00936B96">
                      <w:rPr>
                        <w:rFonts w:ascii="Tahoma" w:eastAsia="Times New Roman" w:hAnsi="Tahoma" w:cs="Tahoma"/>
                        <w:color w:val="FF6600"/>
                        <w:sz w:val="21"/>
                        <w:szCs w:val="21"/>
                        <w:lang w:eastAsia="nl-BE"/>
                      </w:rPr>
                      <w:t xml:space="preserve">Members </w:t>
                    </w:r>
                    <w:proofErr w:type="spellStart"/>
                    <w:r w:rsidRPr="00936B96">
                      <w:rPr>
                        <w:rFonts w:ascii="Tahoma" w:eastAsia="Times New Roman" w:hAnsi="Tahoma" w:cs="Tahoma"/>
                        <w:color w:val="FF6600"/>
                        <w:sz w:val="21"/>
                        <w:szCs w:val="21"/>
                        <w:lang w:eastAsia="nl-BE"/>
                      </w:rPr>
                      <w:t>news</w:t>
                    </w:r>
                    <w:proofErr w:type="spellEnd"/>
                  </w:hyperlink>
                </w:p>
              </w:tc>
            </w:tr>
          </w:tbl>
          <w:p w:rsidR="00936B96" w:rsidRPr="00936B96" w:rsidRDefault="00936B96" w:rsidP="0093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bookmarkStart w:id="0" w:name="_GoBack"/>
        <w:bookmarkEnd w:id="0"/>
      </w:tr>
      <w:tr w:rsidR="00936B96" w:rsidRPr="00936B96">
        <w:trPr>
          <w:tblCellSpacing w:w="120" w:type="dxa"/>
        </w:trPr>
        <w:tc>
          <w:tcPr>
            <w:tcW w:w="6720" w:type="dxa"/>
            <w:shd w:val="clear" w:color="auto" w:fill="FFFFFF"/>
            <w:hideMark/>
          </w:tcPr>
          <w:p w:rsidR="00936B96" w:rsidRPr="00936B96" w:rsidRDefault="00936B96" w:rsidP="0093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1" w:name="toc_item_0"/>
            <w:bookmarkEnd w:id="1"/>
            <w:r w:rsidRPr="00936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11BCDB5" wp14:editId="3E977AAF">
                  <wp:extent cx="5905500" cy="281940"/>
                  <wp:effectExtent l="0" t="0" r="0" b="0"/>
                  <wp:docPr id="49" name="Afbeelding 49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67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0"/>
            </w:tblGrid>
            <w:tr w:rsidR="00936B96" w:rsidRPr="00936B9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936B96" w:rsidRPr="00936B96" w:rsidRDefault="00936B96" w:rsidP="00936B96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936B96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EUNEC at </w:t>
                  </w:r>
                  <w:proofErr w:type="spellStart"/>
                  <w:r w:rsidRPr="00936B96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work</w:t>
                  </w:r>
                  <w:proofErr w:type="spellEnd"/>
                </w:p>
              </w:tc>
            </w:tr>
          </w:tbl>
          <w:p w:rsidR="00936B96" w:rsidRPr="00936B96" w:rsidRDefault="00936B96" w:rsidP="00936B96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8" w:history="1"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EUNEC seminar on '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Governance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in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education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'</w:t>
              </w:r>
            </w:hyperlink>
            <w:r w:rsidRPr="00936B9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7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120"/>
              <w:gridCol w:w="2700"/>
            </w:tblGrid>
            <w:tr w:rsidR="00936B96" w:rsidRPr="00936B9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EUNEC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representatives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11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countries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gathered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Amsterdam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reflect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governance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 An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evolution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going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government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model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towards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governance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model.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a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fundamental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change in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way of thinking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about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shaping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political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decision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-making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processes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 The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role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government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no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longer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steer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directly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policy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processes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but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rather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coordinate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facilitate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those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processes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Tracey Bruns, leader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OECD project '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Governing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Complex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Systems'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explained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about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paradigm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shift.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Participants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visited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Hyperion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Lyceum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discussed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governance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issues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pupils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staff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school board,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municipality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parents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, ...</w:t>
                  </w:r>
                </w:p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Final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statements have been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adopted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members,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full report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event has been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disseminated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towards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relevant stakeholders.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936B96" w:rsidRPr="00936B96" w:rsidRDefault="00936B96" w:rsidP="00936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160" w:type="dxa"/>
                  <w:hideMark/>
                </w:tcPr>
                <w:p w:rsidR="00936B96" w:rsidRPr="00936B96" w:rsidRDefault="00936B96" w:rsidP="00936B9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62AF6DA5" wp14:editId="7CB3D62D">
                        <wp:extent cx="1714500" cy="1325880"/>
                        <wp:effectExtent l="0" t="0" r="0" b="7620"/>
                        <wp:docPr id="50" name="Afbeelding 50" descr="Visit 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Visit 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325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OECD Project on </w:t>
                  </w:r>
                  <w:proofErr w:type="spellStart"/>
                  <w:r w:rsidRPr="00936B96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Governing</w:t>
                  </w:r>
                  <w:proofErr w:type="spellEnd"/>
                  <w:r w:rsidRPr="00936B96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Complex </w:t>
                  </w:r>
                  <w:proofErr w:type="spellStart"/>
                  <w:r w:rsidRPr="00936B96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Systems</w:t>
                  </w:r>
                </w:p>
              </w:tc>
            </w:tr>
          </w:tbl>
          <w:p w:rsidR="00936B96" w:rsidRPr="00936B96" w:rsidRDefault="00936B96" w:rsidP="0093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36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F0E4B6C" wp14:editId="7C8B3B1A">
                  <wp:extent cx="5905500" cy="281940"/>
                  <wp:effectExtent l="0" t="0" r="0" b="0"/>
                  <wp:docPr id="51" name="Afbeelding 51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96" w:rsidRPr="00936B96" w:rsidRDefault="00936B96" w:rsidP="00936B96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proofErr w:type="spellStart"/>
            <w:r w:rsidRPr="00936B9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>Upcoming</w:t>
            </w:r>
            <w:proofErr w:type="spellEnd"/>
            <w:r w:rsidRPr="00936B9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event: seminar on </w:t>
            </w:r>
            <w:proofErr w:type="spellStart"/>
            <w:r w:rsidRPr="00936B9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>inclusive</w:t>
            </w:r>
            <w:proofErr w:type="spellEnd"/>
            <w:r w:rsidRPr="00936B9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936B9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>education</w:t>
            </w:r>
            <w:proofErr w:type="spellEnd"/>
            <w:r w:rsidRPr="00936B9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7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120"/>
              <w:gridCol w:w="2700"/>
            </w:tblGrid>
            <w:tr w:rsidR="00936B96" w:rsidRPr="00936B9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EUNEC is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organizing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its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members a seminar on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theme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inclusive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 The seminar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take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place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Romania, on 18-19 May 2017,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hosted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colleagues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IES (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Institute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Educational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Sciences)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Bucharest.</w:t>
                  </w:r>
                </w:p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 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936B96" w:rsidRPr="00936B96" w:rsidRDefault="00936B96" w:rsidP="00936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160" w:type="dxa"/>
                  <w:hideMark/>
                </w:tcPr>
                <w:p w:rsidR="00936B96" w:rsidRPr="00936B96" w:rsidRDefault="00936B96" w:rsidP="00936B9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6270716F" wp14:editId="0A5CF124">
                        <wp:extent cx="1714500" cy="274320"/>
                        <wp:effectExtent l="0" t="0" r="0" b="0"/>
                        <wp:docPr id="52" name="Afbeelding 52" descr="http://i2.createsend1.com/ei/r/CF/C54/BBA/csimport/logo.1158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i2.createsend1.com/ei/r/CF/C54/BBA/csimport/logo.1158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6B96" w:rsidRPr="00936B96" w:rsidRDefault="00936B96" w:rsidP="0093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36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EBC8B44" wp14:editId="1691336F">
                  <wp:extent cx="5905500" cy="281940"/>
                  <wp:effectExtent l="0" t="0" r="0" b="0"/>
                  <wp:docPr id="53" name="Afbeelding 53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96" w:rsidRPr="00936B96" w:rsidRDefault="00936B96" w:rsidP="00936B96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2" w:history="1"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EUNEC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attended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the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launch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of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the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European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Commission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new Skills Agenda</w:t>
              </w:r>
            </w:hyperlink>
            <w:r w:rsidRPr="00936B9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7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120"/>
              <w:gridCol w:w="2700"/>
            </w:tblGrid>
            <w:tr w:rsidR="00936B96" w:rsidRPr="00936B9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new agenda was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launched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20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June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2016 in Brussels.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Key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note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presentations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Marianne Thyssen, European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Commissioner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Farid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Tabarki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director of Studio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Zeitgeist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were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followed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panel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opened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Tibor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navracsics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lastRenderedPageBreak/>
                    <w:t>Commissioner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Culture,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Youth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 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Sport.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936B96" w:rsidRPr="00936B96" w:rsidRDefault="00936B96" w:rsidP="00936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lastRenderedPageBreak/>
                    <w:t> </w:t>
                  </w:r>
                </w:p>
              </w:tc>
              <w:tc>
                <w:tcPr>
                  <w:tcW w:w="2160" w:type="dxa"/>
                  <w:hideMark/>
                </w:tcPr>
                <w:p w:rsidR="00936B96" w:rsidRPr="00936B96" w:rsidRDefault="00936B96" w:rsidP="00936B9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72375E4E" wp14:editId="6C50D2AC">
                        <wp:extent cx="1714500" cy="952500"/>
                        <wp:effectExtent l="0" t="0" r="0" b="0"/>
                        <wp:docPr id="54" name="Afbeelding 54" descr="http://i3.createsend1.com/ei/r/CF/C54/BBA/csimport/naamloos.1624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i3.createsend1.com/ei/r/CF/C54/BBA/csimport/naamloos.1624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6B96" w:rsidRPr="00936B96" w:rsidRDefault="00936B96" w:rsidP="0093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36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129D5CA" wp14:editId="2ECDE2D3">
                  <wp:extent cx="5905500" cy="281940"/>
                  <wp:effectExtent l="0" t="0" r="0" b="0"/>
                  <wp:docPr id="55" name="Afbeelding 55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96" w:rsidRPr="00936B96" w:rsidRDefault="00936B96" w:rsidP="00936B96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4" w:history="1"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EUNEC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participated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at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the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Education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, Training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and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Youth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Forum </w:t>
              </w:r>
            </w:hyperlink>
          </w:p>
          <w:tbl>
            <w:tblPr>
              <w:tblW w:w="7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936B96" w:rsidRPr="00936B9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year's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Forum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focused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how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best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deliver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New Skills Agenda.</w:t>
                  </w:r>
                </w:p>
              </w:tc>
            </w:tr>
          </w:tbl>
          <w:p w:rsidR="00936B96" w:rsidRPr="00936B96" w:rsidRDefault="00936B96" w:rsidP="0093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36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CFB7F2C" wp14:editId="48C7531D">
                  <wp:extent cx="5905500" cy="281940"/>
                  <wp:effectExtent l="0" t="0" r="0" b="0"/>
                  <wp:docPr id="56" name="Afbeelding 56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toc_item_1"/>
            <w:bookmarkEnd w:id="2"/>
            <w:r w:rsidRPr="00936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74A9E30" wp14:editId="5B53F1BE">
                  <wp:extent cx="5905500" cy="281940"/>
                  <wp:effectExtent l="0" t="0" r="0" b="0"/>
                  <wp:docPr id="57" name="Afbeelding 57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67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0"/>
            </w:tblGrid>
            <w:tr w:rsidR="00936B96" w:rsidRPr="00936B9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936B96" w:rsidRPr="00936B96" w:rsidRDefault="00936B96" w:rsidP="00936B96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936B96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European </w:t>
                  </w:r>
                  <w:proofErr w:type="spellStart"/>
                  <w:r w:rsidRPr="00936B96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heartbeat</w:t>
                  </w:r>
                  <w:proofErr w:type="spellEnd"/>
                </w:p>
              </w:tc>
            </w:tr>
          </w:tbl>
          <w:p w:rsidR="00936B96" w:rsidRPr="00936B96" w:rsidRDefault="00936B96" w:rsidP="00936B96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5" w:history="1"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The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Slovak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Presidency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of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the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Council of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the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EU</w:t>
              </w:r>
            </w:hyperlink>
            <w:r w:rsidRPr="00936B9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7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120"/>
              <w:gridCol w:w="2700"/>
            </w:tblGrid>
            <w:tr w:rsidR="00936B96" w:rsidRPr="00936B9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priorities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Presidency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field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 follow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objectives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Skills Agenda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Europe. As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regards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Council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Recommendation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establishing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Skills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Guarantee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Presidency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aims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increase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level of adult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including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digital,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entrepreneurial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transversal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skills. In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context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revision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Recommendation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European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Qualifications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Framework,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Presidency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focuses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developing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tools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services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skills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qualifications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improving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their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comparability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Presidency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also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prepares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Council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Conclusions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highlighting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role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youth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work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preventing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radicalisation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extremism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936B96" w:rsidRPr="00936B96" w:rsidRDefault="00936B96" w:rsidP="00936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160" w:type="dxa"/>
                  <w:hideMark/>
                </w:tcPr>
                <w:p w:rsidR="00936B96" w:rsidRPr="00936B96" w:rsidRDefault="00936B96" w:rsidP="00936B9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34A38429" wp14:editId="75865E31">
                        <wp:extent cx="1714500" cy="1059180"/>
                        <wp:effectExtent l="0" t="0" r="0" b="7620"/>
                        <wp:docPr id="58" name="Afbeelding 58" descr="http://i4.createsend1.com/ei/r/CF/C54/BBA/csimport/slovak-presidency-logo.1632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i4.createsend1.com/ei/r/CF/C54/BBA/csimport/slovak-presidency-logo.1632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059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6B96" w:rsidRPr="00936B96" w:rsidRDefault="00936B96" w:rsidP="0093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36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011E1E1" wp14:editId="03DA9725">
                  <wp:extent cx="5905500" cy="281940"/>
                  <wp:effectExtent l="0" t="0" r="0" b="0"/>
                  <wp:docPr id="59" name="Afbeelding 59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96" w:rsidRPr="00936B96" w:rsidRDefault="00936B96" w:rsidP="00936B96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7" w:history="1"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Reference Framework of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Competences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for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Democratic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Culture</w:t>
              </w:r>
            </w:hyperlink>
            <w:r w:rsidRPr="00936B9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7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120"/>
              <w:gridCol w:w="2700"/>
            </w:tblGrid>
            <w:tr w:rsidR="00936B96" w:rsidRPr="00936B9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In April 2016, at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Standing Conference of Ministers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Council of Europe in Brussels,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ministers have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given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their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backing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development of a new tool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help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teach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democracy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democratic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values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Representatives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50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countries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agreed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help put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tool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practice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supporting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its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testing.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936B96" w:rsidRPr="00936B96" w:rsidRDefault="00936B96" w:rsidP="00936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160" w:type="dxa"/>
                  <w:hideMark/>
                </w:tcPr>
                <w:p w:rsidR="00936B96" w:rsidRPr="00936B96" w:rsidRDefault="00936B96" w:rsidP="00936B9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49132511" wp14:editId="3FDA5728">
                        <wp:extent cx="1714500" cy="792480"/>
                        <wp:effectExtent l="0" t="0" r="0" b="7620"/>
                        <wp:docPr id="60" name="Afbeelding 60" descr="http://i5.createsend1.com/ei/r/CF/C54/BBA/csimport/competences_en-Comp-1.1637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i5.createsend1.com/ei/r/CF/C54/BBA/csimport/competences_en-Comp-1.1637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6B96" w:rsidRPr="00936B96" w:rsidRDefault="00936B96" w:rsidP="0093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36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E81DD15" wp14:editId="70196A58">
                  <wp:extent cx="5905500" cy="281940"/>
                  <wp:effectExtent l="0" t="0" r="0" b="0"/>
                  <wp:docPr id="61" name="Afbeelding 61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96" w:rsidRPr="00936B96" w:rsidRDefault="00936B96" w:rsidP="00936B96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9" w:history="1"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Delivering a Europe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that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protects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,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empowers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and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defends</w:t>
              </w:r>
              <w:proofErr w:type="spellEnd"/>
            </w:hyperlink>
            <w:r w:rsidRPr="00936B9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7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120"/>
              <w:gridCol w:w="2700"/>
            </w:tblGrid>
            <w:tr w:rsidR="00936B96" w:rsidRPr="00936B9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In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October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2016,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European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published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its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Work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Programme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2017. It is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third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yearly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Work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Programme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Juncker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 It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focuses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delivery of the10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priorities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outlined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Political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Guidelines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 Actions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related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 are most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related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first priority '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boost jobs,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growth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investment'.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936B96" w:rsidRPr="00936B96" w:rsidRDefault="00936B96" w:rsidP="00936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160" w:type="dxa"/>
                  <w:hideMark/>
                </w:tcPr>
                <w:p w:rsidR="00936B96" w:rsidRPr="00936B96" w:rsidRDefault="00936B96" w:rsidP="00936B9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570B6949" wp14:editId="14FEAD9A">
                        <wp:extent cx="1714500" cy="1181100"/>
                        <wp:effectExtent l="0" t="0" r="0" b="0"/>
                        <wp:docPr id="62" name="Afbeelding 62" descr="http://i6.createsend1.com/ei/r/CF/C54/BBA/csimport/naamloos.15485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i6.createsend1.com/ei/r/CF/C54/BBA/csimport/naamloos.15485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6B96" w:rsidRPr="00936B96" w:rsidRDefault="00936B96" w:rsidP="0093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36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BD2FCB2" wp14:editId="22FDAD2D">
                  <wp:extent cx="5905500" cy="281940"/>
                  <wp:effectExtent l="0" t="0" r="0" b="0"/>
                  <wp:docPr id="63" name="Afbeelding 63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96" w:rsidRPr="00936B96" w:rsidRDefault="00936B96" w:rsidP="00936B96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21" w:history="1"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Education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and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Training Monitor 2016</w:t>
              </w:r>
            </w:hyperlink>
            <w:r w:rsidRPr="00936B9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7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120"/>
              <w:gridCol w:w="2700"/>
            </w:tblGrid>
            <w:tr w:rsidR="00936B96" w:rsidRPr="00936B9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lastRenderedPageBreak/>
                    <w:t xml:space="preserve">The Monitor is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annual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publication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that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captures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evolution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 in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EU;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it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a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contribution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objectives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strategic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framework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cooperation in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overall Europe 2020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strategy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European semester.</w:t>
                  </w:r>
                </w:p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year's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edition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shows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that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Member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States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face a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dual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task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ensuring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adequate financial investment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offering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high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quality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young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people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backgrounds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including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refugees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migrants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936B96" w:rsidRPr="00936B96" w:rsidRDefault="00936B96" w:rsidP="00936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160" w:type="dxa"/>
                  <w:hideMark/>
                </w:tcPr>
                <w:p w:rsidR="00936B96" w:rsidRPr="00936B96" w:rsidRDefault="00936B96" w:rsidP="00936B9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18351714" wp14:editId="1B571C2D">
                        <wp:extent cx="1714500" cy="2430780"/>
                        <wp:effectExtent l="0" t="0" r="0" b="7620"/>
                        <wp:docPr id="64" name="Afbeelding 64" descr="http://i7.createsend1.com/ei/r/CF/C54/BBA/csimport/monitor.1718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i7.createsend1.com/ei/r/CF/C54/BBA/csimport/monitor.1718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430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6B96" w:rsidRPr="00936B96" w:rsidRDefault="00936B96" w:rsidP="0093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36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7C308A5" wp14:editId="7764501B">
                  <wp:extent cx="5905500" cy="281940"/>
                  <wp:effectExtent l="0" t="0" r="0" b="0"/>
                  <wp:docPr id="65" name="Afbeelding 65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96" w:rsidRPr="00936B96" w:rsidRDefault="00936B96" w:rsidP="00936B96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23" w:history="1"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Education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at a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glance</w:t>
              </w:r>
              <w:proofErr w:type="spellEnd"/>
            </w:hyperlink>
            <w:r w:rsidRPr="00936B9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7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120"/>
              <w:gridCol w:w="2700"/>
            </w:tblGrid>
            <w:tr w:rsidR="00936B96" w:rsidRPr="00936B9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High-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quality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benefits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remains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government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priority, but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despite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notable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progress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some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groups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still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lag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behind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a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Glance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provides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information on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state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around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world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 It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identifies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number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persisting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challenges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helps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highlight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areas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where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investments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could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better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targeted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improve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efficiency,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equity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quality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936B96" w:rsidRPr="00936B96" w:rsidRDefault="00936B96" w:rsidP="00936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160" w:type="dxa"/>
                  <w:hideMark/>
                </w:tcPr>
                <w:p w:rsidR="00936B96" w:rsidRPr="00936B96" w:rsidRDefault="00936B96" w:rsidP="00936B9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202F8C7E" wp14:editId="0808FFB3">
                        <wp:extent cx="1714500" cy="2286000"/>
                        <wp:effectExtent l="0" t="0" r="0" b="0"/>
                        <wp:docPr id="66" name="Afbeelding 66" descr="http://i8.createsend1.com/ei/r/CF/C54/BBA/csimport/th.1537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i8.createsend1.com/ei/r/CF/C54/BBA/csimport/th.1537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6B96" w:rsidRPr="00936B96" w:rsidRDefault="00936B96" w:rsidP="0093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36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B2D7C7D" wp14:editId="15444151">
                  <wp:extent cx="5905500" cy="281940"/>
                  <wp:effectExtent l="0" t="0" r="0" b="0"/>
                  <wp:docPr id="67" name="Afbeelding 67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96" w:rsidRPr="00936B96" w:rsidRDefault="00936B96" w:rsidP="00936B96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25" w:history="1"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Global </w:t>
              </w:r>
              <w:proofErr w:type="spellStart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Education</w:t>
              </w:r>
              <w:proofErr w:type="spellEnd"/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Monitoring Report </w:t>
              </w:r>
            </w:hyperlink>
          </w:p>
          <w:tbl>
            <w:tblPr>
              <w:tblW w:w="7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120"/>
              <w:gridCol w:w="2520"/>
            </w:tblGrid>
            <w:tr w:rsidR="00936B96" w:rsidRPr="00936B9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UNESCO report shows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potential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propel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progress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towards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global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goals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outlined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2030 agenda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Sustainable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Development (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SDG's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). It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also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shows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that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needs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major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transformation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fulfil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that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potential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main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challenges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are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related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environmental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concerns,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need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higher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skills,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inequality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 The report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emphasizes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need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work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collaboration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other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sectors.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936B96" w:rsidRPr="00936B96" w:rsidRDefault="00936B96" w:rsidP="00936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160" w:type="dxa"/>
                  <w:hideMark/>
                </w:tcPr>
                <w:p w:rsidR="00936B96" w:rsidRPr="00936B96" w:rsidRDefault="00936B96" w:rsidP="00936B9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936B96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7B0DA285" wp14:editId="04435676">
                        <wp:extent cx="1592580" cy="2095500"/>
                        <wp:effectExtent l="0" t="0" r="7620" b="0"/>
                        <wp:docPr id="68" name="Afbeelding 68" descr="http://i9.createsend1.com/ei/r/CF/C54/BBA/csimport/cover20image.1546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i9.createsend1.com/ei/r/CF/C54/BBA/csimport/cover20image.1546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258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6B96" w:rsidRPr="00936B96" w:rsidRDefault="00936B96" w:rsidP="0093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36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520C3B9" wp14:editId="27B26FC7">
                  <wp:extent cx="5905500" cy="281940"/>
                  <wp:effectExtent l="0" t="0" r="0" b="0"/>
                  <wp:docPr id="69" name="Afbeelding 69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toc_item_2"/>
            <w:bookmarkEnd w:id="3"/>
            <w:r w:rsidRPr="00936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5017057" wp14:editId="01A89477">
                  <wp:extent cx="5905500" cy="281940"/>
                  <wp:effectExtent l="0" t="0" r="0" b="0"/>
                  <wp:docPr id="70" name="Afbeelding 70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67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0"/>
            </w:tblGrid>
            <w:tr w:rsidR="00936B96" w:rsidRPr="00936B9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936B96" w:rsidRPr="00936B96" w:rsidRDefault="00936B96" w:rsidP="00936B96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936B96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lastRenderedPageBreak/>
                    <w:t xml:space="preserve">Members </w:t>
                  </w:r>
                  <w:proofErr w:type="spellStart"/>
                  <w:r w:rsidRPr="00936B96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news</w:t>
                  </w:r>
                  <w:proofErr w:type="spellEnd"/>
                </w:p>
              </w:tc>
            </w:tr>
          </w:tbl>
          <w:p w:rsidR="00936B96" w:rsidRPr="00936B96" w:rsidRDefault="00936B96" w:rsidP="00936B96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27" w:history="1">
              <w:r w:rsidRPr="00936B96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EUNEC members </w:t>
              </w:r>
            </w:hyperlink>
          </w:p>
          <w:tbl>
            <w:tblPr>
              <w:tblW w:w="7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936B96" w:rsidRPr="00936B9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6B96" w:rsidRPr="00936B96" w:rsidRDefault="00936B96" w:rsidP="00936B96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An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overview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EUNEC members, contact info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recent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work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or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publications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member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section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</w:t>
                  </w:r>
                  <w:proofErr w:type="spellEnd"/>
                  <w:r w:rsidRPr="00936B9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EUNEC website.</w:t>
                  </w:r>
                </w:p>
              </w:tc>
            </w:tr>
          </w:tbl>
          <w:p w:rsidR="00936B96" w:rsidRPr="00936B96" w:rsidRDefault="00936B96" w:rsidP="0093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36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33F952C" wp14:editId="04392337">
                  <wp:extent cx="5905500" cy="281940"/>
                  <wp:effectExtent l="0" t="0" r="0" b="0"/>
                  <wp:docPr id="71" name="Afbeelding 71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B96" w:rsidRPr="00936B96">
        <w:trPr>
          <w:tblCellSpacing w:w="12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36B96" w:rsidRPr="00936B96" w:rsidRDefault="00936B96" w:rsidP="00936B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nl-BE"/>
              </w:rPr>
            </w:pPr>
            <w:hyperlink r:id="rId28" w:history="1">
              <w:r w:rsidRPr="00936B96">
                <w:rPr>
                  <w:rFonts w:ascii="Arial" w:eastAsia="Times New Roman" w:hAnsi="Arial" w:cs="Arial"/>
                  <w:color w:val="FF6600"/>
                  <w:sz w:val="21"/>
                  <w:szCs w:val="21"/>
                  <w:u w:val="single"/>
                  <w:lang w:eastAsia="nl-BE"/>
                </w:rPr>
                <w:t>www.eunec.eu</w:t>
              </w:r>
            </w:hyperlink>
          </w:p>
        </w:tc>
      </w:tr>
      <w:tr w:rsidR="00936B96" w:rsidRPr="00936B96">
        <w:trPr>
          <w:tblCellSpacing w:w="1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B96" w:rsidRPr="00936B96" w:rsidRDefault="00936B96" w:rsidP="0093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36B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94A6B1D" wp14:editId="540E2200">
                  <wp:extent cx="5905500" cy="281940"/>
                  <wp:effectExtent l="0" t="0" r="0" b="0"/>
                  <wp:docPr id="72" name="Afbeelding 72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B96" w:rsidRPr="00936B96">
        <w:trPr>
          <w:tblCellSpacing w:w="12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36B96" w:rsidRPr="00936B96" w:rsidRDefault="00936B96" w:rsidP="00936B96">
            <w:pPr>
              <w:spacing w:after="0" w:line="312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</w:pPr>
            <w:r w:rsidRPr="00936B9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EUNEC-</w:t>
            </w:r>
            <w:proofErr w:type="spellStart"/>
            <w:r w:rsidRPr="00936B9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secretariat</w:t>
            </w:r>
            <w:proofErr w:type="spellEnd"/>
            <w:r w:rsidRPr="00936B9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  c/o Onderwijsraad  Kunstlaan 6 bus 6 - 1210 Brussel </w:t>
            </w:r>
            <w:r w:rsidRPr="00936B9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  <w:t xml:space="preserve">Tel.:+32 2 227 13 70 - e-mail: </w:t>
            </w:r>
            <w:hyperlink r:id="rId29" w:history="1">
              <w:r w:rsidRPr="00936B96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eunec@vlor.be</w:t>
              </w:r>
            </w:hyperlink>
            <w:r w:rsidRPr="00936B9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 xml:space="preserve"> - </w:t>
            </w:r>
            <w:hyperlink r:id="rId30" w:history="1">
              <w:r w:rsidRPr="00936B96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www.eunec.eu</w:t>
              </w:r>
            </w:hyperlink>
            <w:r w:rsidRPr="00936B9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</w:r>
            <w:r w:rsidRPr="00936B9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</w:r>
            <w:proofErr w:type="spellStart"/>
            <w:r w:rsidRPr="00936B96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This</w:t>
            </w:r>
            <w:proofErr w:type="spellEnd"/>
            <w:r w:rsidRPr="00936B96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mail was sent </w:t>
            </w:r>
            <w:proofErr w:type="spellStart"/>
            <w:r w:rsidRPr="00936B96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to</w:t>
            </w:r>
            <w:proofErr w:type="spellEnd"/>
            <w:r w:rsidRPr="00936B96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[email </w:t>
            </w:r>
            <w:proofErr w:type="spellStart"/>
            <w:r w:rsidRPr="00936B96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address</w:t>
            </w:r>
            <w:proofErr w:type="spellEnd"/>
            <w:r w:rsidRPr="00936B96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936B96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suppressed</w:t>
            </w:r>
            <w:proofErr w:type="spellEnd"/>
            <w:r w:rsidRPr="00936B96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]. </w:t>
            </w:r>
            <w:proofErr w:type="spellStart"/>
            <w:r w:rsidRPr="00936B96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You</w:t>
            </w:r>
            <w:proofErr w:type="spellEnd"/>
            <w:r w:rsidRPr="00936B96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936B96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can</w:t>
            </w:r>
            <w:proofErr w:type="spellEnd"/>
            <w:r w:rsidRPr="00936B96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</w:t>
            </w:r>
            <w:hyperlink r:id="rId31" w:history="1">
              <w:proofErr w:type="spellStart"/>
              <w:r w:rsidRPr="00936B96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>unsubscribe</w:t>
              </w:r>
              <w:proofErr w:type="spellEnd"/>
            </w:hyperlink>
            <w:r w:rsidRPr="00936B96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or </w:t>
            </w:r>
            <w:hyperlink r:id="rId32" w:history="1">
              <w:r w:rsidRPr="00936B96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 xml:space="preserve">change </w:t>
              </w:r>
              <w:proofErr w:type="spellStart"/>
              <w:r w:rsidRPr="00936B96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>your</w:t>
              </w:r>
              <w:proofErr w:type="spellEnd"/>
              <w:r w:rsidRPr="00936B96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 xml:space="preserve"> e-mail </w:t>
              </w:r>
              <w:proofErr w:type="spellStart"/>
              <w:r w:rsidRPr="00936B96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>address</w:t>
              </w:r>
              <w:proofErr w:type="spellEnd"/>
            </w:hyperlink>
            <w:r w:rsidRPr="00936B96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.</w:t>
            </w:r>
          </w:p>
        </w:tc>
      </w:tr>
    </w:tbl>
    <w:p w:rsidR="00997451" w:rsidRDefault="00997451"/>
    <w:sectPr w:rsidR="0099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96"/>
    <w:rsid w:val="00936B96"/>
    <w:rsid w:val="009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6A002-95CE-4536-943D-38128008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el.be/t/r-l-yhujzz-l-t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://www.emeel.be/t/r-l-yhujzz-l-o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www.emeel.be/t/r-l-yhujzz-l-i/" TargetMode="External"/><Relationship Id="rId17" Type="http://schemas.openxmlformats.org/officeDocument/2006/relationships/hyperlink" Target="http://www.emeel.be/t/r-l-yhujzz-l-k/" TargetMode="External"/><Relationship Id="rId25" Type="http://schemas.openxmlformats.org/officeDocument/2006/relationships/hyperlink" Target="http://www.emeel.be/t/r-l-yhujzz-l-n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hyperlink" Target="mailto:%20info@vlor.b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meel.be/t/ViewEmail/r/0BEF5DA00EB7D5532540EF23F30FEDED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32" Type="http://schemas.openxmlformats.org/officeDocument/2006/relationships/hyperlink" Target="http://vlor.updatemyprofile.com/r-l-2AD73FFF-l-j" TargetMode="External"/><Relationship Id="rId5" Type="http://schemas.openxmlformats.org/officeDocument/2006/relationships/hyperlink" Target="http://www.emeel.be/t/ViewEmail/r/0BEF5DA00EB7D5532540EF23F30FEDED" TargetMode="External"/><Relationship Id="rId15" Type="http://schemas.openxmlformats.org/officeDocument/2006/relationships/hyperlink" Target="http://www.emeel.be/t/r-l-yhujzz-l-h/" TargetMode="External"/><Relationship Id="rId23" Type="http://schemas.openxmlformats.org/officeDocument/2006/relationships/hyperlink" Target="http://www.emeel.be/t/r-l-yhujzz-l-b/" TargetMode="External"/><Relationship Id="rId28" Type="http://schemas.openxmlformats.org/officeDocument/2006/relationships/hyperlink" Target="http://www.emeel.be/t/r-l-yhujzz-l-x/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emeel.be/t/r-l-yhujzz-l-u/" TargetMode="External"/><Relationship Id="rId31" Type="http://schemas.openxmlformats.org/officeDocument/2006/relationships/hyperlink" Target="http://www.emeel.be/t/r-u-yhujzz-l-y/" TargetMode="External"/><Relationship Id="rId4" Type="http://schemas.openxmlformats.org/officeDocument/2006/relationships/hyperlink" Target="http://www.emeel.be/t/ViewEmail/r/0BEF5DA00EB7D5532540EF23F30FEDED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www.emeel.be/t/r-l-yhujzz-l-d/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www.emeel.be/t/r-l-yhujzz-l-p/" TargetMode="External"/><Relationship Id="rId30" Type="http://schemas.openxmlformats.org/officeDocument/2006/relationships/hyperlink" Target="http://www.emeel.be/t/r-l-yhujzz-l-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De Smet</dc:creator>
  <cp:keywords/>
  <dc:description/>
  <cp:lastModifiedBy>Carine De Smet</cp:lastModifiedBy>
  <cp:revision>1</cp:revision>
  <dcterms:created xsi:type="dcterms:W3CDTF">2017-03-01T10:23:00Z</dcterms:created>
  <dcterms:modified xsi:type="dcterms:W3CDTF">2017-03-01T10:23:00Z</dcterms:modified>
</cp:coreProperties>
</file>